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tbl>
      <w:tblPr>
        <w:tblW w:w="9610" w:type="dxa"/>
        <w:jc w:val="center"/>
        <w:tblCellSpacing w:w="0" w:type="dxa"/>
        <w:shd w:val="clear" w:color="auto" w:fill="990020"/>
        <w:tblLayout w:type="fixed"/>
        <w:tblCellMar>
          <w:left w:w="0" w:type="dxa"/>
          <w:right w:w="0" w:type="dxa"/>
        </w:tblCellMar>
        <w:tblLook w:val="04A0" w:firstRow="1" w:lastRow="0" w:firstColumn="1" w:lastColumn="0" w:noHBand="0" w:noVBand="1"/>
      </w:tblPr>
      <w:tblGrid>
        <w:gridCol w:w="9610"/>
      </w:tblGrid>
      <w:tr w:rsidR="00C906BB" w:rsidRPr="006B79D9" w14:paraId="3A7EC625" w14:textId="77777777" w:rsidTr="00B00148">
        <w:trPr>
          <w:trHeight w:val="1020"/>
          <w:tblCellSpacing w:w="0" w:type="dxa"/>
          <w:jc w:val="center"/>
        </w:trPr>
        <w:tc>
          <w:tcPr>
            <w:tcW w:w="9610" w:type="dxa"/>
            <w:shd w:val="clear" w:color="auto" w:fill="990020"/>
            <w:tcMar>
              <w:top w:w="300" w:type="dxa"/>
              <w:left w:w="450" w:type="dxa"/>
              <w:bottom w:w="300" w:type="dxa"/>
              <w:right w:w="0" w:type="dxa"/>
            </w:tcMar>
            <w:vAlign w:val="center"/>
            <w:hideMark/>
          </w:tcPr>
          <w:p w14:paraId="444231D6" w14:textId="5CDDACE2" w:rsidR="00C906BB" w:rsidRPr="006B79D9" w:rsidRDefault="00B00148" w:rsidP="00EF27C6">
            <w:pPr>
              <w:spacing w:after="0" w:line="240" w:lineRule="auto"/>
              <w:ind w:left="-308"/>
              <w:rPr>
                <w:rFonts w:ascii="Arial Narrow" w:eastAsia="Times New Roman" w:hAnsi="Arial Narrow"/>
                <w:b/>
                <w:sz w:val="20"/>
                <w:szCs w:val="20"/>
              </w:rPr>
            </w:pPr>
            <w:r>
              <w:rPr>
                <w:rFonts w:ascii="Arial Narrow" w:eastAsia="Times New Roman" w:hAnsi="Arial Narrow"/>
                <w:b/>
                <w:noProof/>
                <w:sz w:val="20"/>
                <w:szCs w:val="20"/>
              </w:rPr>
              <w:drawing>
                <wp:inline distT="0" distB="0" distL="0" distR="0" wp14:anchorId="50F290B4" wp14:editId="497E9428">
                  <wp:extent cx="2142490" cy="5810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660" cy="582156"/>
                          </a:xfrm>
                          <a:prstGeom prst="rect">
                            <a:avLst/>
                          </a:prstGeom>
                          <a:noFill/>
                        </pic:spPr>
                      </pic:pic>
                    </a:graphicData>
                  </a:graphic>
                </wp:inline>
              </w:drawing>
            </w:r>
          </w:p>
        </w:tc>
      </w:tr>
    </w:tbl>
    <w:p w14:paraId="06937E2B" w14:textId="2D0A4201" w:rsidR="00530B4A" w:rsidRPr="00530B4A" w:rsidRDefault="007B4A30" w:rsidP="00EF27C6">
      <w:pPr>
        <w:spacing w:line="240" w:lineRule="auto"/>
        <w:jc w:val="center"/>
        <w:rPr>
          <w:rFonts w:ascii="Arial Narrow" w:hAnsi="Arial Narrow"/>
          <w:b/>
          <w:color w:val="990020"/>
          <w:sz w:val="18"/>
          <w:szCs w:val="18"/>
        </w:rPr>
      </w:pPr>
      <w:r>
        <w:rPr>
          <w:noProof/>
        </w:rPr>
        <mc:AlternateContent>
          <mc:Choice Requires="wpg">
            <w:drawing>
              <wp:anchor distT="0" distB="0" distL="114300" distR="114300" simplePos="0" relativeHeight="251659264" behindDoc="0" locked="0" layoutInCell="1" allowOverlap="1" wp14:anchorId="31801B4E" wp14:editId="4BB24FDB">
                <wp:simplePos x="0" y="0"/>
                <wp:positionH relativeFrom="page">
                  <wp:posOffset>47625</wp:posOffset>
                </wp:positionH>
                <wp:positionV relativeFrom="paragraph">
                  <wp:posOffset>10160</wp:posOffset>
                </wp:positionV>
                <wp:extent cx="8935200" cy="2208628"/>
                <wp:effectExtent l="0" t="0" r="0" b="1270"/>
                <wp:wrapNone/>
                <wp:docPr id="6" name="Grupo 6"/>
                <wp:cNvGraphicFramePr/>
                <a:graphic xmlns:a="http://schemas.openxmlformats.org/drawingml/2006/main">
                  <a:graphicData uri="http://schemas.microsoft.com/office/word/2010/wordprocessingGroup">
                    <wpg:wgp>
                      <wpg:cNvGrpSpPr/>
                      <wpg:grpSpPr>
                        <a:xfrm>
                          <a:off x="0" y="0"/>
                          <a:ext cx="8935200" cy="2208628"/>
                          <a:chOff x="0" y="0"/>
                          <a:chExt cx="8935200" cy="2208628"/>
                        </a:xfrm>
                      </wpg:grpSpPr>
                      <wps:wsp>
                        <wps:cNvPr id="8" name="Rectángulo 3"/>
                        <wps:cNvSpPr/>
                        <wps:spPr>
                          <a:xfrm>
                            <a:off x="0" y="56271"/>
                            <a:ext cx="6522086" cy="215235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3F8EDE0" w14:textId="77777777" w:rsidR="009817CB" w:rsidRPr="00E737FD" w:rsidRDefault="009817CB" w:rsidP="009817CB">
                              <w:pPr>
                                <w:jc w:val="center"/>
                                <w:rPr>
                                  <w:rFonts w:ascii="Arial Narrow" w:hAnsi="Arial Narrow"/>
                                  <w:b/>
                                  <w:bCs/>
                                  <w:i/>
                                  <w:iCs/>
                                  <w:spacing w:val="60"/>
                                  <w:kern w:val="24"/>
                                  <w:sz w:val="144"/>
                                  <w:szCs w:val="144"/>
                                </w:rPr>
                              </w:pPr>
                              <w:proofErr w:type="spellStart"/>
                              <w:r>
                                <w:rPr>
                                  <w:rFonts w:ascii="Arial Narrow" w:hAnsi="Arial Narrow"/>
                                  <w:b/>
                                  <w:bCs/>
                                  <w:i/>
                                  <w:iCs/>
                                  <w:spacing w:val="60"/>
                                  <w:kern w:val="24"/>
                                  <w:sz w:val="144"/>
                                  <w:szCs w:val="144"/>
                                </w:rPr>
                                <w:t>Highlights</w:t>
                              </w:r>
                              <w:proofErr w:type="spellEnd"/>
                              <w:r w:rsidRPr="00E737FD">
                                <w:rPr>
                                  <w:rFonts w:ascii="Arial Narrow" w:hAnsi="Arial Narrow"/>
                                  <w:b/>
                                  <w:bCs/>
                                  <w:i/>
                                  <w:iCs/>
                                  <w:spacing w:val="60"/>
                                  <w:kern w:val="24"/>
                                  <w:sz w:val="144"/>
                                  <w:szCs w:val="144"/>
                                </w:rPr>
                                <w:t>…</w:t>
                              </w:r>
                            </w:p>
                          </w:txbxContent>
                        </wps:txbx>
                        <wps:bodyPr rtlCol="0" anchor="ctr"/>
                      </wps:wsp>
                      <wps:wsp>
                        <wps:cNvPr id="9" name="Text Box 39"/>
                        <wps:cNvSpPr txBox="1">
                          <a:spLocks noChangeArrowheads="1"/>
                        </wps:cNvSpPr>
                        <wps:spPr bwMode="auto">
                          <a:xfrm>
                            <a:off x="1955280" y="1209606"/>
                            <a:ext cx="6979920" cy="9010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C9FE5DC" w14:textId="2C10C891" w:rsidR="009817CB" w:rsidRPr="008041D9" w:rsidRDefault="009817CB" w:rsidP="009817CB">
                              <w:pPr>
                                <w:spacing w:before="336"/>
                                <w:ind w:left="547" w:hanging="547"/>
                                <w:textAlignment w:val="baseline"/>
                                <w:rPr>
                                  <w:rFonts w:ascii="Arial Narrow" w:hAnsi="Arial Narrow" w:cs="Arial Narrow"/>
                                  <w:b/>
                                  <w:bCs/>
                                  <w:i/>
                                  <w:iCs/>
                                  <w:color w:val="000000" w:themeColor="text1"/>
                                  <w:kern w:val="24"/>
                                  <w:sz w:val="56"/>
                                  <w:szCs w:val="56"/>
                                  <w:lang w:val="en-US"/>
                                </w:rPr>
                              </w:pPr>
                              <w:r w:rsidRPr="008041D9">
                                <w:rPr>
                                  <w:rFonts w:ascii="Arial Narrow" w:hAnsi="Arial Narrow" w:cs="Arial Narrow"/>
                                  <w:b/>
                                  <w:bCs/>
                                  <w:i/>
                                  <w:iCs/>
                                  <w:color w:val="000000" w:themeColor="text1"/>
                                  <w:kern w:val="24"/>
                                  <w:sz w:val="56"/>
                                  <w:szCs w:val="56"/>
                                  <w:lang w:val="en-US"/>
                                </w:rPr>
                                <w:t xml:space="preserve">Weekly follow-up: </w:t>
                              </w:r>
                              <w:r w:rsidR="0011436E">
                                <w:rPr>
                                  <w:rFonts w:ascii="Arial Narrow" w:hAnsi="Arial Narrow" w:cs="Arial Narrow"/>
                                  <w:b/>
                                  <w:bCs/>
                                  <w:i/>
                                  <w:iCs/>
                                  <w:color w:val="000000" w:themeColor="text1"/>
                                  <w:kern w:val="24"/>
                                  <w:sz w:val="56"/>
                                  <w:szCs w:val="56"/>
                                  <w:lang w:val="en-US"/>
                                </w:rPr>
                                <w:t xml:space="preserve">3 </w:t>
                              </w:r>
                              <w:r w:rsidR="008A62F4">
                                <w:rPr>
                                  <w:rFonts w:ascii="Arial Narrow" w:hAnsi="Arial Narrow" w:cs="Arial Narrow"/>
                                  <w:b/>
                                  <w:bCs/>
                                  <w:i/>
                                  <w:iCs/>
                                  <w:color w:val="000000" w:themeColor="text1"/>
                                  <w:kern w:val="24"/>
                                  <w:sz w:val="56"/>
                                  <w:szCs w:val="56"/>
                                  <w:lang w:val="en-US"/>
                                </w:rPr>
                                <w:t>Apr – 7 Apr</w:t>
                              </w:r>
                              <w:r w:rsidR="00D725D9">
                                <w:rPr>
                                  <w:rFonts w:ascii="Arial Narrow" w:hAnsi="Arial Narrow" w:cs="Arial Narrow"/>
                                  <w:b/>
                                  <w:bCs/>
                                  <w:i/>
                                  <w:iCs/>
                                  <w:color w:val="000000" w:themeColor="text1"/>
                                  <w:kern w:val="24"/>
                                  <w:sz w:val="56"/>
                                  <w:szCs w:val="56"/>
                                  <w:lang w:val="en-US"/>
                                </w:rPr>
                                <w:t>.</w:t>
                              </w:r>
                              <w:r w:rsidRPr="008041D9">
                                <w:rPr>
                                  <w:rFonts w:ascii="Arial Narrow" w:hAnsi="Arial Narrow" w:cs="Arial Narrow"/>
                                  <w:b/>
                                  <w:bCs/>
                                  <w:i/>
                                  <w:iCs/>
                                  <w:color w:val="000000" w:themeColor="text1"/>
                                  <w:kern w:val="24"/>
                                  <w:sz w:val="56"/>
                                  <w:szCs w:val="56"/>
                                  <w:lang w:val="en-US"/>
                                </w:rPr>
                                <w:t xml:space="preserve"> </w:t>
                              </w:r>
                            </w:p>
                          </w:txbxContent>
                        </wps:txbx>
                        <wps:bodyPr>
                          <a:spAutoFit/>
                        </wps:bodyPr>
                      </wps:wsp>
                      <wps:wsp>
                        <wps:cNvPr id="10" name="Text Box 39"/>
                        <wps:cNvSpPr txBox="1">
                          <a:spLocks noChangeArrowheads="1"/>
                        </wps:cNvSpPr>
                        <wps:spPr bwMode="auto">
                          <a:xfrm>
                            <a:off x="843949" y="0"/>
                            <a:ext cx="6979920" cy="9010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218AD95" w14:textId="77777777" w:rsidR="009817CB" w:rsidRDefault="009817CB" w:rsidP="009817CB">
                              <w:pPr>
                                <w:spacing w:before="336"/>
                                <w:ind w:left="547" w:hanging="547"/>
                                <w:textAlignment w:val="baseline"/>
                                <w:rPr>
                                  <w:rFonts w:ascii="Arial Narrow" w:hAnsi="Arial Narrow" w:cs="Arial Narrow"/>
                                  <w:b/>
                                  <w:bCs/>
                                  <w:i/>
                                  <w:iCs/>
                                  <w:color w:val="000000" w:themeColor="text1"/>
                                  <w:kern w:val="24"/>
                                  <w:sz w:val="56"/>
                                  <w:szCs w:val="56"/>
                                </w:rPr>
                              </w:pPr>
                              <w:r>
                                <w:rPr>
                                  <w:rFonts w:ascii="Arial Narrow" w:hAnsi="Arial Narrow" w:cs="Arial Narrow"/>
                                  <w:b/>
                                  <w:bCs/>
                                  <w:i/>
                                  <w:iCs/>
                                  <w:color w:val="000000" w:themeColor="text1"/>
                                  <w:kern w:val="24"/>
                                  <w:sz w:val="56"/>
                                  <w:szCs w:val="56"/>
                                </w:rPr>
                                <w:t xml:space="preserve">SPANISH COMPETITION </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31801B4E" id="Grupo 6" o:spid="_x0000_s1026" style="position:absolute;left:0;text-align:left;margin-left:3.75pt;margin-top:.8pt;width:703.55pt;height:173.9pt;z-index:251659264;mso-position-horizontal-relative:page;mso-width-relative:margin;mso-height-relative:margin" coordsize="89352,2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">
                <v:rect id="Rectángulo 3" o:spid="_x0000_s1027" style="position:absolute;top:562;width:65220;height:2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" filled="f" stroked="f">
                  <v:textbox>
                    <w:txbxContent>
                      <w:p w14:paraId="73F8EDE0" w14:textId="77777777" w:rsidR="009817CB" w:rsidRPr="00E737FD" w:rsidRDefault="009817CB" w:rsidP="009817CB">
                        <w:pPr>
                          <w:jc w:val="center"/>
                          <w:rPr>
                            <w:rFonts w:ascii="Arial Narrow" w:hAnsi="Arial Narrow"/>
                            <w:b/>
                            <w:bCs/>
                            <w:i/>
                            <w:iCs/>
                            <w:spacing w:val="60"/>
                            <w:kern w:val="24"/>
                            <w:sz w:val="144"/>
                            <w:szCs w:val="144"/>
                          </w:rPr>
                        </w:pPr>
                        <w:proofErr w:type="spellStart"/>
                        <w:r>
                          <w:rPr>
                            <w:rFonts w:ascii="Arial Narrow" w:hAnsi="Arial Narrow"/>
                            <w:b/>
                            <w:bCs/>
                            <w:i/>
                            <w:iCs/>
                            <w:spacing w:val="60"/>
                            <w:kern w:val="24"/>
                            <w:sz w:val="144"/>
                            <w:szCs w:val="144"/>
                          </w:rPr>
                          <w:t>Highlights</w:t>
                        </w:r>
                        <w:proofErr w:type="spellEnd"/>
                        <w:r w:rsidRPr="00E737FD">
                          <w:rPr>
                            <w:rFonts w:ascii="Arial Narrow" w:hAnsi="Arial Narrow"/>
                            <w:b/>
                            <w:bCs/>
                            <w:i/>
                            <w:iCs/>
                            <w:spacing w:val="60"/>
                            <w:kern w:val="24"/>
                            <w:sz w:val="144"/>
                            <w:szCs w:val="144"/>
                          </w:rPr>
                          <w:t>…</w:t>
                        </w:r>
                      </w:p>
                    </w:txbxContent>
                  </v:textbox>
                </v:rect>
                <v:shapetype id="_x0000_t202" coordsize="21600,21600" o:spt="202" path="m,l,21600r21600,l21600,xe">
                  <v:stroke joinstyle="miter"/>
                  <v:path gradientshapeok="t" o:connecttype="rect"/>
                </v:shapetype>
                <v:shape id="Text Box 39" o:spid="_x0000_s1028" type="#_x0000_t202" style="position:absolute;left:19552;top:12096;width:69800;height:9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" filled="f" fillcolor="#4472c4 [3204]" stroked="f" strokecolor="black [3213]">
                  <v:shadow color="#e7e6e6 [3214]"/>
                  <v:textbox style="mso-fit-shape-to-text:t">
                    <w:txbxContent>
                      <w:p w14:paraId="0C9FE5DC" w14:textId="2C10C891" w:rsidR="009817CB" w:rsidRPr="008041D9" w:rsidRDefault="009817CB" w:rsidP="009817CB">
                        <w:pPr>
                          <w:spacing w:before="336"/>
                          <w:ind w:left="547" w:hanging="547"/>
                          <w:textAlignment w:val="baseline"/>
                          <w:rPr>
                            <w:rFonts w:ascii="Arial Narrow" w:hAnsi="Arial Narrow" w:cs="Arial Narrow"/>
                            <w:b/>
                            <w:bCs/>
                            <w:i/>
                            <w:iCs/>
                            <w:color w:val="000000" w:themeColor="text1"/>
                            <w:kern w:val="24"/>
                            <w:sz w:val="56"/>
                            <w:szCs w:val="56"/>
                            <w:lang w:val="en-US"/>
                          </w:rPr>
                        </w:pPr>
                        <w:r w:rsidRPr="008041D9">
                          <w:rPr>
                            <w:rFonts w:ascii="Arial Narrow" w:hAnsi="Arial Narrow" w:cs="Arial Narrow"/>
                            <w:b/>
                            <w:bCs/>
                            <w:i/>
                            <w:iCs/>
                            <w:color w:val="000000" w:themeColor="text1"/>
                            <w:kern w:val="24"/>
                            <w:sz w:val="56"/>
                            <w:szCs w:val="56"/>
                            <w:lang w:val="en-US"/>
                          </w:rPr>
                          <w:t xml:space="preserve">Weekly follow-up: </w:t>
                        </w:r>
                        <w:r w:rsidR="0011436E">
                          <w:rPr>
                            <w:rFonts w:ascii="Arial Narrow" w:hAnsi="Arial Narrow" w:cs="Arial Narrow"/>
                            <w:b/>
                            <w:bCs/>
                            <w:i/>
                            <w:iCs/>
                            <w:color w:val="000000" w:themeColor="text1"/>
                            <w:kern w:val="24"/>
                            <w:sz w:val="56"/>
                            <w:szCs w:val="56"/>
                            <w:lang w:val="en-US"/>
                          </w:rPr>
                          <w:t xml:space="preserve">3 </w:t>
                        </w:r>
                        <w:r w:rsidR="008A62F4">
                          <w:rPr>
                            <w:rFonts w:ascii="Arial Narrow" w:hAnsi="Arial Narrow" w:cs="Arial Narrow"/>
                            <w:b/>
                            <w:bCs/>
                            <w:i/>
                            <w:iCs/>
                            <w:color w:val="000000" w:themeColor="text1"/>
                            <w:kern w:val="24"/>
                            <w:sz w:val="56"/>
                            <w:szCs w:val="56"/>
                            <w:lang w:val="en-US"/>
                          </w:rPr>
                          <w:t>Apr – 7 Apr</w:t>
                        </w:r>
                        <w:r w:rsidR="00D725D9">
                          <w:rPr>
                            <w:rFonts w:ascii="Arial Narrow" w:hAnsi="Arial Narrow" w:cs="Arial Narrow"/>
                            <w:b/>
                            <w:bCs/>
                            <w:i/>
                            <w:iCs/>
                            <w:color w:val="000000" w:themeColor="text1"/>
                            <w:kern w:val="24"/>
                            <w:sz w:val="56"/>
                            <w:szCs w:val="56"/>
                            <w:lang w:val="en-US"/>
                          </w:rPr>
                          <w:t>.</w:t>
                        </w:r>
                        <w:r w:rsidRPr="008041D9">
                          <w:rPr>
                            <w:rFonts w:ascii="Arial Narrow" w:hAnsi="Arial Narrow" w:cs="Arial Narrow"/>
                            <w:b/>
                            <w:bCs/>
                            <w:i/>
                            <w:iCs/>
                            <w:color w:val="000000" w:themeColor="text1"/>
                            <w:kern w:val="24"/>
                            <w:sz w:val="56"/>
                            <w:szCs w:val="56"/>
                            <w:lang w:val="en-US"/>
                          </w:rPr>
                          <w:t xml:space="preserve"> </w:t>
                        </w:r>
                      </w:p>
                    </w:txbxContent>
                  </v:textbox>
                </v:shape>
                <v:shape id="Text Box 39" o:spid="_x0000_s1029" type="#_x0000_t202" style="position:absolute;left:8439;width:69799;height:9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" filled="f" fillcolor="#4472c4 [3204]" stroked="f" strokecolor="black [3213]">
                  <v:shadow color="#e7e6e6 [3214]"/>
                  <v:textbox style="mso-fit-shape-to-text:t">
                    <w:txbxContent>
                      <w:p w14:paraId="1218AD95" w14:textId="77777777" w:rsidR="009817CB" w:rsidRDefault="009817CB" w:rsidP="009817CB">
                        <w:pPr>
                          <w:spacing w:before="336"/>
                          <w:ind w:left="547" w:hanging="547"/>
                          <w:textAlignment w:val="baseline"/>
                          <w:rPr>
                            <w:rFonts w:ascii="Arial Narrow" w:hAnsi="Arial Narrow" w:cs="Arial Narrow"/>
                            <w:b/>
                            <w:bCs/>
                            <w:i/>
                            <w:iCs/>
                            <w:color w:val="000000" w:themeColor="text1"/>
                            <w:kern w:val="24"/>
                            <w:sz w:val="56"/>
                            <w:szCs w:val="56"/>
                          </w:rPr>
                        </w:pPr>
                        <w:r>
                          <w:rPr>
                            <w:rFonts w:ascii="Arial Narrow" w:hAnsi="Arial Narrow" w:cs="Arial Narrow"/>
                            <w:b/>
                            <w:bCs/>
                            <w:i/>
                            <w:iCs/>
                            <w:color w:val="000000" w:themeColor="text1"/>
                            <w:kern w:val="24"/>
                            <w:sz w:val="56"/>
                            <w:szCs w:val="56"/>
                          </w:rPr>
                          <w:t xml:space="preserve">SPANISH COMPETITION </w:t>
                        </w:r>
                      </w:p>
                    </w:txbxContent>
                  </v:textbox>
                </v:shape>
                <w10:wrap anchorx="page"/>
              </v:group>
            </w:pict>
          </mc:Fallback>
        </mc:AlternateContent>
      </w:r>
    </w:p>
    <w:p w14:paraId="3AC163D1" w14:textId="299AA720" w:rsidR="00077380" w:rsidRDefault="00077380" w:rsidP="00EF27C6">
      <w:pPr>
        <w:spacing w:line="240" w:lineRule="auto"/>
        <w:jc w:val="center"/>
        <w:rPr>
          <w:rFonts w:ascii="Arial Narrow" w:hAnsi="Arial Narrow"/>
          <w:b/>
          <w:color w:val="990020"/>
          <w:sz w:val="36"/>
          <w:szCs w:val="36"/>
        </w:rPr>
      </w:pPr>
    </w:p>
    <w:p w14:paraId="78362C77" w14:textId="57D107EF" w:rsidR="001B1297" w:rsidRDefault="001B1297" w:rsidP="001B1297">
      <w:pPr>
        <w:widowControl w:val="0"/>
        <w:spacing w:before="240" w:after="240" w:line="240" w:lineRule="auto"/>
        <w:jc w:val="both"/>
        <w:rPr>
          <w:rFonts w:ascii="Arial Narrow" w:hAnsi="Arial Narrow"/>
          <w:b/>
          <w:color w:val="990020"/>
          <w:sz w:val="36"/>
          <w:szCs w:val="36"/>
          <w:lang w:val="en-US"/>
        </w:rPr>
      </w:pPr>
    </w:p>
    <w:p w14:paraId="092A2FD3" w14:textId="77777777" w:rsidR="009817CB" w:rsidRPr="009817CB" w:rsidRDefault="009817CB" w:rsidP="001B1297">
      <w:pPr>
        <w:widowControl w:val="0"/>
        <w:spacing w:before="240" w:after="240" w:line="240" w:lineRule="auto"/>
        <w:jc w:val="both"/>
        <w:rPr>
          <w:sz w:val="20"/>
          <w:szCs w:val="20"/>
          <w:lang w:val="en-US"/>
        </w:rPr>
      </w:pPr>
    </w:p>
    <w:p w14:paraId="0389973C" w14:textId="77777777" w:rsidR="009817CB" w:rsidRDefault="009817CB" w:rsidP="009817CB">
      <w:pPr>
        <w:rPr>
          <w:rFonts w:ascii="Arial Narrow" w:hAnsi="Arial Narrow"/>
          <w:b/>
          <w:bCs/>
          <w:sz w:val="32"/>
          <w:szCs w:val="32"/>
          <w:lang w:val="en-US"/>
        </w:rPr>
      </w:pPr>
    </w:p>
    <w:p w14:paraId="300BBC3B" w14:textId="77777777" w:rsidR="009817CB" w:rsidRDefault="009817CB" w:rsidP="009817CB">
      <w:pPr>
        <w:rPr>
          <w:rFonts w:ascii="Arial Narrow" w:hAnsi="Arial Narrow"/>
          <w:b/>
          <w:bCs/>
          <w:sz w:val="32"/>
          <w:szCs w:val="32"/>
          <w:lang w:val="en-US"/>
        </w:rPr>
      </w:pPr>
    </w:p>
    <w:p w14:paraId="4E333E3D" w14:textId="3B96FE8F" w:rsidR="00577ABF" w:rsidRPr="001F10B8" w:rsidRDefault="00577ABF" w:rsidP="001A7581">
      <w:pPr>
        <w:rPr>
          <w:rFonts w:ascii="Arial Narrow" w:hAnsi="Arial Narrow"/>
          <w:b/>
          <w:bCs/>
          <w:sz w:val="32"/>
          <w:szCs w:val="32"/>
          <w:lang w:val="en-US"/>
        </w:rPr>
      </w:pPr>
      <w:r w:rsidRPr="001F10B8">
        <w:rPr>
          <w:rFonts w:ascii="Arial Narrow" w:hAnsi="Arial Narrow"/>
          <w:b/>
          <w:bCs/>
          <w:sz w:val="32"/>
          <w:szCs w:val="32"/>
          <w:lang w:val="en-US"/>
        </w:rPr>
        <w:t>The Spanish Supreme Court (</w:t>
      </w:r>
      <w:r w:rsidR="00E30BAF">
        <w:rPr>
          <w:rFonts w:ascii="Arial Narrow" w:hAnsi="Arial Narrow"/>
          <w:b/>
          <w:bCs/>
          <w:sz w:val="32"/>
          <w:szCs w:val="32"/>
          <w:lang w:val="en-US"/>
        </w:rPr>
        <w:t>TS</w:t>
      </w:r>
      <w:r w:rsidRPr="001F10B8">
        <w:rPr>
          <w:rFonts w:ascii="Arial Narrow" w:hAnsi="Arial Narrow"/>
          <w:b/>
          <w:bCs/>
          <w:sz w:val="32"/>
          <w:szCs w:val="32"/>
          <w:lang w:val="en-US"/>
        </w:rPr>
        <w:t xml:space="preserve">) will rule on the </w:t>
      </w:r>
      <w:r w:rsidR="001F10B8" w:rsidRPr="001F10B8">
        <w:rPr>
          <w:rFonts w:ascii="Arial Narrow" w:hAnsi="Arial Narrow"/>
          <w:b/>
          <w:bCs/>
          <w:sz w:val="32"/>
          <w:szCs w:val="32"/>
          <w:lang w:val="en-US"/>
        </w:rPr>
        <w:t>Co</w:t>
      </w:r>
      <w:r w:rsidR="001F10B8">
        <w:rPr>
          <w:rFonts w:ascii="Arial Narrow" w:hAnsi="Arial Narrow"/>
          <w:b/>
          <w:bCs/>
          <w:sz w:val="32"/>
          <w:szCs w:val="32"/>
          <w:lang w:val="en-US"/>
        </w:rPr>
        <w:t xml:space="preserve">mpetition Authorities </w:t>
      </w:r>
      <w:r w:rsidRPr="001F10B8">
        <w:rPr>
          <w:rFonts w:ascii="Arial Narrow" w:hAnsi="Arial Narrow"/>
          <w:b/>
          <w:bCs/>
          <w:sz w:val="32"/>
          <w:szCs w:val="32"/>
          <w:lang w:val="en-US"/>
        </w:rPr>
        <w:t xml:space="preserve">competence to impose a ban on contracting with the public </w:t>
      </w:r>
      <w:proofErr w:type="gramStart"/>
      <w:r w:rsidR="001F10B8" w:rsidRPr="001F10B8">
        <w:rPr>
          <w:rFonts w:ascii="Arial Narrow" w:hAnsi="Arial Narrow"/>
          <w:b/>
          <w:bCs/>
          <w:sz w:val="32"/>
          <w:szCs w:val="32"/>
          <w:lang w:val="en-US"/>
        </w:rPr>
        <w:t>administration</w:t>
      </w:r>
      <w:proofErr w:type="gramEnd"/>
    </w:p>
    <w:p w14:paraId="0275CB2A" w14:textId="4D4F950C" w:rsidR="00BC6719" w:rsidRPr="005067CB" w:rsidRDefault="0031105D" w:rsidP="001A7581">
      <w:pPr>
        <w:rPr>
          <w:rFonts w:ascii="Arial Narrow" w:hAnsi="Arial Narrow"/>
          <w:sz w:val="24"/>
          <w:szCs w:val="24"/>
          <w:lang w:val="en-US"/>
        </w:rPr>
      </w:pPr>
      <w:r>
        <w:rPr>
          <w:rFonts w:ascii="Arial Narrow" w:hAnsi="Arial Narrow"/>
          <w:sz w:val="24"/>
          <w:szCs w:val="24"/>
          <w:lang w:val="en-US"/>
        </w:rPr>
        <w:t>I</w:t>
      </w:r>
      <w:r w:rsidRPr="00D62CC1">
        <w:rPr>
          <w:rFonts w:ascii="Arial Narrow" w:hAnsi="Arial Narrow"/>
          <w:sz w:val="24"/>
          <w:szCs w:val="24"/>
          <w:lang w:val="en-US"/>
        </w:rPr>
        <w:t>n December 2019</w:t>
      </w:r>
      <w:r>
        <w:rPr>
          <w:rFonts w:ascii="Arial Narrow" w:hAnsi="Arial Narrow"/>
          <w:sz w:val="24"/>
          <w:szCs w:val="24"/>
          <w:lang w:val="en-US"/>
        </w:rPr>
        <w:t>,</w:t>
      </w:r>
      <w:r w:rsidRPr="00D62CC1">
        <w:rPr>
          <w:rFonts w:ascii="Arial Narrow" w:hAnsi="Arial Narrow"/>
          <w:sz w:val="24"/>
          <w:szCs w:val="24"/>
          <w:lang w:val="en-US"/>
        </w:rPr>
        <w:t xml:space="preserve"> </w:t>
      </w:r>
      <w:r>
        <w:rPr>
          <w:rFonts w:ascii="Arial Narrow" w:hAnsi="Arial Narrow"/>
          <w:sz w:val="24"/>
          <w:szCs w:val="24"/>
          <w:lang w:val="en-US"/>
        </w:rPr>
        <w:t>t</w:t>
      </w:r>
      <w:r w:rsidR="00D62CC1" w:rsidRPr="00D62CC1">
        <w:rPr>
          <w:rFonts w:ascii="Arial Narrow" w:hAnsi="Arial Narrow"/>
          <w:sz w:val="24"/>
          <w:szCs w:val="24"/>
          <w:lang w:val="en-US"/>
        </w:rPr>
        <w:t>he Catalan Competition Authority ("</w:t>
      </w:r>
      <w:r w:rsidR="00D62CC1" w:rsidRPr="0031105D">
        <w:rPr>
          <w:rFonts w:ascii="Arial Narrow" w:hAnsi="Arial Narrow"/>
          <w:b/>
          <w:bCs/>
          <w:sz w:val="24"/>
          <w:szCs w:val="24"/>
          <w:lang w:val="en-US"/>
        </w:rPr>
        <w:t>ACCO</w:t>
      </w:r>
      <w:r w:rsidR="00D62CC1" w:rsidRPr="00D62CC1">
        <w:rPr>
          <w:rFonts w:ascii="Arial Narrow" w:hAnsi="Arial Narrow"/>
          <w:sz w:val="24"/>
          <w:szCs w:val="24"/>
          <w:lang w:val="en-US"/>
        </w:rPr>
        <w:t xml:space="preserve">") </w:t>
      </w:r>
      <w:hyperlink r:id="rId10" w:history="1">
        <w:r w:rsidR="00D62CC1" w:rsidRPr="00513050">
          <w:rPr>
            <w:rStyle w:val="Hipervnculo"/>
            <w:rFonts w:ascii="Arial Narrow" w:hAnsi="Arial Narrow"/>
            <w:sz w:val="24"/>
            <w:szCs w:val="24"/>
            <w:lang w:val="en-US"/>
          </w:rPr>
          <w:t>sanctioned</w:t>
        </w:r>
      </w:hyperlink>
      <w:r w:rsidR="00D62CC1" w:rsidRPr="00D62CC1">
        <w:rPr>
          <w:rFonts w:ascii="Arial Narrow" w:hAnsi="Arial Narrow"/>
          <w:sz w:val="24"/>
          <w:szCs w:val="24"/>
          <w:lang w:val="en-US"/>
        </w:rPr>
        <w:t xml:space="preserve"> two companies for </w:t>
      </w:r>
      <w:r>
        <w:rPr>
          <w:rFonts w:ascii="Arial Narrow" w:hAnsi="Arial Narrow"/>
          <w:sz w:val="24"/>
          <w:szCs w:val="24"/>
          <w:lang w:val="en-US"/>
        </w:rPr>
        <w:t>bid-rigging</w:t>
      </w:r>
      <w:r w:rsidR="00D62CC1" w:rsidRPr="00D62CC1">
        <w:rPr>
          <w:rFonts w:ascii="Arial Narrow" w:hAnsi="Arial Narrow"/>
          <w:sz w:val="24"/>
          <w:szCs w:val="24"/>
          <w:lang w:val="en-US"/>
        </w:rPr>
        <w:t xml:space="preserve"> the public tenders of the Meteorological Service of Catalonia ("</w:t>
      </w:r>
      <w:r w:rsidR="00D62CC1" w:rsidRPr="0031105D">
        <w:rPr>
          <w:rFonts w:ascii="Arial Narrow" w:hAnsi="Arial Narrow"/>
          <w:b/>
          <w:bCs/>
          <w:sz w:val="24"/>
          <w:szCs w:val="24"/>
          <w:lang w:val="en-US"/>
        </w:rPr>
        <w:t>SMC</w:t>
      </w:r>
      <w:r w:rsidR="00D62CC1" w:rsidRPr="00D62CC1">
        <w:rPr>
          <w:rFonts w:ascii="Arial Narrow" w:hAnsi="Arial Narrow"/>
          <w:sz w:val="24"/>
          <w:szCs w:val="24"/>
          <w:lang w:val="en-US"/>
        </w:rPr>
        <w:t xml:space="preserve">") and banned </w:t>
      </w:r>
      <w:r w:rsidR="005067CB" w:rsidRPr="00D62CC1">
        <w:rPr>
          <w:rFonts w:ascii="Arial Narrow" w:hAnsi="Arial Narrow"/>
          <w:sz w:val="24"/>
          <w:szCs w:val="24"/>
          <w:lang w:val="en-US"/>
        </w:rPr>
        <w:t>both</w:t>
      </w:r>
      <w:r w:rsidR="00D62CC1" w:rsidRPr="00D62CC1">
        <w:rPr>
          <w:rFonts w:ascii="Arial Narrow" w:hAnsi="Arial Narrow"/>
          <w:sz w:val="24"/>
          <w:szCs w:val="24"/>
          <w:lang w:val="en-US"/>
        </w:rPr>
        <w:t xml:space="preserve"> from contracting with the SMC for 18 months.</w:t>
      </w:r>
      <w:r w:rsidR="00150837">
        <w:rPr>
          <w:rFonts w:ascii="Arial Narrow" w:hAnsi="Arial Narrow"/>
          <w:sz w:val="24"/>
          <w:szCs w:val="24"/>
          <w:lang w:val="en-US"/>
        </w:rPr>
        <w:t xml:space="preserve"> </w:t>
      </w:r>
      <w:r w:rsidR="008C6254">
        <w:rPr>
          <w:rFonts w:ascii="Arial Narrow" w:hAnsi="Arial Narrow"/>
          <w:sz w:val="24"/>
          <w:szCs w:val="24"/>
          <w:lang w:val="en-US"/>
        </w:rPr>
        <w:t>The</w:t>
      </w:r>
      <w:r w:rsidR="00BC6719" w:rsidRPr="00BC6719">
        <w:rPr>
          <w:rFonts w:ascii="Arial Narrow" w:hAnsi="Arial Narrow"/>
          <w:sz w:val="24"/>
          <w:szCs w:val="24"/>
          <w:lang w:val="en-US"/>
        </w:rPr>
        <w:t xml:space="preserve"> undertakings appealed the decision. </w:t>
      </w:r>
      <w:r w:rsidR="005067CB">
        <w:rPr>
          <w:rFonts w:ascii="Arial Narrow" w:hAnsi="Arial Narrow"/>
          <w:sz w:val="24"/>
          <w:szCs w:val="24"/>
          <w:lang w:val="en-US"/>
        </w:rPr>
        <w:t>In both cases, t</w:t>
      </w:r>
      <w:r w:rsidR="00BC6719" w:rsidRPr="005067CB">
        <w:rPr>
          <w:rFonts w:ascii="Arial Narrow" w:hAnsi="Arial Narrow"/>
          <w:sz w:val="24"/>
          <w:szCs w:val="24"/>
          <w:lang w:val="en-US"/>
        </w:rPr>
        <w:t xml:space="preserve">he High Court of Justice of Catalonia </w:t>
      </w:r>
      <w:r w:rsidR="00286C81">
        <w:rPr>
          <w:rFonts w:ascii="Arial Narrow" w:hAnsi="Arial Narrow"/>
          <w:sz w:val="24"/>
          <w:szCs w:val="24"/>
          <w:lang w:val="en-US"/>
        </w:rPr>
        <w:t>ruled</w:t>
      </w:r>
      <w:r w:rsidR="00286C81" w:rsidRPr="005067CB">
        <w:rPr>
          <w:rFonts w:ascii="Arial Narrow" w:hAnsi="Arial Narrow"/>
          <w:sz w:val="24"/>
          <w:szCs w:val="24"/>
          <w:lang w:val="en-US"/>
        </w:rPr>
        <w:t xml:space="preserve"> </w:t>
      </w:r>
      <w:r w:rsidR="00BC6719" w:rsidRPr="005067CB">
        <w:rPr>
          <w:rFonts w:ascii="Arial Narrow" w:hAnsi="Arial Narrow"/>
          <w:sz w:val="24"/>
          <w:szCs w:val="24"/>
          <w:lang w:val="en-US"/>
        </w:rPr>
        <w:t>the partial annulment of the fine.</w:t>
      </w:r>
    </w:p>
    <w:p w14:paraId="0DCBCE79" w14:textId="0115BFA3" w:rsidR="003A3E03" w:rsidRDefault="003A3E03" w:rsidP="006D6624">
      <w:pPr>
        <w:rPr>
          <w:rFonts w:ascii="Arial Narrow" w:hAnsi="Arial Narrow"/>
          <w:sz w:val="24"/>
          <w:szCs w:val="24"/>
          <w:lang w:val="en-US"/>
        </w:rPr>
      </w:pPr>
      <w:r w:rsidRPr="003A3E03">
        <w:rPr>
          <w:rFonts w:ascii="Arial Narrow" w:hAnsi="Arial Narrow"/>
          <w:sz w:val="24"/>
          <w:szCs w:val="24"/>
          <w:lang w:val="en-US"/>
        </w:rPr>
        <w:t xml:space="preserve">Once again, both companies challenged </w:t>
      </w:r>
      <w:r w:rsidR="00286C81">
        <w:rPr>
          <w:rFonts w:ascii="Arial Narrow" w:hAnsi="Arial Narrow"/>
          <w:sz w:val="24"/>
          <w:szCs w:val="24"/>
          <w:lang w:val="en-US"/>
        </w:rPr>
        <w:t>the</w:t>
      </w:r>
      <w:r w:rsidR="00286C81" w:rsidRPr="003A3E03">
        <w:rPr>
          <w:rFonts w:ascii="Arial Narrow" w:hAnsi="Arial Narrow"/>
          <w:sz w:val="24"/>
          <w:szCs w:val="24"/>
          <w:lang w:val="en-US"/>
        </w:rPr>
        <w:t xml:space="preserve"> </w:t>
      </w:r>
      <w:r w:rsidRPr="003A3E03">
        <w:rPr>
          <w:rFonts w:ascii="Arial Narrow" w:hAnsi="Arial Narrow"/>
          <w:sz w:val="24"/>
          <w:szCs w:val="24"/>
          <w:lang w:val="en-US"/>
        </w:rPr>
        <w:t>judgement</w:t>
      </w:r>
      <w:r w:rsidR="005067CB">
        <w:rPr>
          <w:rFonts w:ascii="Arial Narrow" w:hAnsi="Arial Narrow"/>
          <w:sz w:val="24"/>
          <w:szCs w:val="24"/>
          <w:lang w:val="en-US"/>
        </w:rPr>
        <w:t xml:space="preserve">. Now, </w:t>
      </w:r>
      <w:r w:rsidR="00286C81">
        <w:rPr>
          <w:rFonts w:ascii="Arial Narrow" w:hAnsi="Arial Narrow"/>
          <w:sz w:val="24"/>
          <w:szCs w:val="24"/>
          <w:lang w:val="en-US"/>
        </w:rPr>
        <w:t xml:space="preserve">the </w:t>
      </w:r>
      <w:r w:rsidRPr="003A3E03">
        <w:rPr>
          <w:rFonts w:ascii="Arial Narrow" w:hAnsi="Arial Narrow"/>
          <w:sz w:val="24"/>
          <w:szCs w:val="24"/>
          <w:lang w:val="en-US"/>
        </w:rPr>
        <w:t xml:space="preserve">TS has admitted the cassation appeal in order to complete, nuance or clarify the caselaw on which is the competent administrative authority to impose the prohibition to procure with the </w:t>
      </w:r>
      <w:r w:rsidR="005067CB">
        <w:rPr>
          <w:rFonts w:ascii="Arial Narrow" w:hAnsi="Arial Narrow"/>
          <w:sz w:val="24"/>
          <w:szCs w:val="24"/>
          <w:lang w:val="en-US"/>
        </w:rPr>
        <w:t xml:space="preserve">public </w:t>
      </w:r>
      <w:r w:rsidRPr="003A3E03">
        <w:rPr>
          <w:rFonts w:ascii="Arial Narrow" w:hAnsi="Arial Narrow"/>
          <w:sz w:val="24"/>
          <w:szCs w:val="24"/>
          <w:lang w:val="en-US"/>
        </w:rPr>
        <w:t>administration.</w:t>
      </w:r>
    </w:p>
    <w:p w14:paraId="51F1DAFE" w14:textId="7D4A6683" w:rsidR="00BC603C" w:rsidRDefault="00F267C5" w:rsidP="00660017">
      <w:pPr>
        <w:rPr>
          <w:rFonts w:ascii="Arial Narrow" w:hAnsi="Arial Narrow"/>
          <w:b/>
          <w:bCs/>
          <w:sz w:val="24"/>
          <w:szCs w:val="24"/>
          <w:lang w:val="en-US"/>
        </w:rPr>
      </w:pPr>
      <w:r w:rsidRPr="00F267C5">
        <w:rPr>
          <w:rFonts w:ascii="Arial Narrow" w:hAnsi="Arial Narrow"/>
          <w:b/>
          <w:bCs/>
          <w:sz w:val="24"/>
          <w:szCs w:val="24"/>
          <w:lang w:val="en-US"/>
        </w:rPr>
        <w:t>The coexistence of different approaches</w:t>
      </w:r>
      <w:r>
        <w:rPr>
          <w:rFonts w:ascii="Arial Narrow" w:hAnsi="Arial Narrow"/>
          <w:b/>
          <w:bCs/>
          <w:sz w:val="24"/>
          <w:szCs w:val="24"/>
          <w:lang w:val="en-US"/>
        </w:rPr>
        <w:t xml:space="preserve">. </w:t>
      </w:r>
      <w:r w:rsidR="00D24BA4" w:rsidRPr="00390F22">
        <w:rPr>
          <w:rFonts w:ascii="Arial Narrow" w:hAnsi="Arial Narrow"/>
          <w:b/>
          <w:bCs/>
          <w:sz w:val="24"/>
          <w:szCs w:val="24"/>
          <w:lang w:val="en-US"/>
        </w:rPr>
        <w:t>Clarification is ne</w:t>
      </w:r>
      <w:r w:rsidR="00660017">
        <w:rPr>
          <w:rFonts w:ascii="Arial Narrow" w:hAnsi="Arial Narrow"/>
          <w:b/>
          <w:bCs/>
          <w:sz w:val="24"/>
          <w:szCs w:val="24"/>
          <w:lang w:val="en-US"/>
        </w:rPr>
        <w:t>eded</w:t>
      </w:r>
      <w:r>
        <w:rPr>
          <w:rFonts w:ascii="Arial Narrow" w:hAnsi="Arial Narrow"/>
          <w:b/>
          <w:bCs/>
          <w:sz w:val="24"/>
          <w:szCs w:val="24"/>
          <w:lang w:val="en-US"/>
        </w:rPr>
        <w:t>…</w:t>
      </w:r>
    </w:p>
    <w:p w14:paraId="68053C8F" w14:textId="250E97EE" w:rsidR="00A57747" w:rsidRPr="005672E7" w:rsidRDefault="00390F22" w:rsidP="00390F22">
      <w:pPr>
        <w:rPr>
          <w:rFonts w:ascii="Arial Narrow" w:hAnsi="Arial Narrow"/>
          <w:b/>
          <w:bCs/>
          <w:sz w:val="24"/>
          <w:szCs w:val="24"/>
          <w:lang w:val="en-GB"/>
        </w:rPr>
      </w:pPr>
      <w:r w:rsidRPr="00390F22">
        <w:rPr>
          <w:rFonts w:ascii="Arial Narrow" w:hAnsi="Arial Narrow"/>
          <w:sz w:val="24"/>
          <w:szCs w:val="24"/>
          <w:lang w:val="en-US"/>
        </w:rPr>
        <w:t xml:space="preserve">To date, the CNMC has never determined the scope and duration of the procurement bans imposed in its </w:t>
      </w:r>
      <w:r w:rsidR="00B02214" w:rsidRPr="00390F22">
        <w:rPr>
          <w:rFonts w:ascii="Arial Narrow" w:hAnsi="Arial Narrow"/>
          <w:sz w:val="24"/>
          <w:szCs w:val="24"/>
          <w:lang w:val="en-US"/>
        </w:rPr>
        <w:t>resolutions but</w:t>
      </w:r>
      <w:r w:rsidRPr="00390F22">
        <w:rPr>
          <w:rFonts w:ascii="Arial Narrow" w:hAnsi="Arial Narrow"/>
          <w:sz w:val="24"/>
          <w:szCs w:val="24"/>
          <w:lang w:val="en-US"/>
        </w:rPr>
        <w:t xml:space="preserve"> has referred this task to the State Public Procurement Advisory Board. </w:t>
      </w:r>
      <w:r w:rsidR="00A57747">
        <w:rPr>
          <w:rFonts w:ascii="Arial Narrow" w:hAnsi="Arial Narrow"/>
          <w:sz w:val="24"/>
          <w:szCs w:val="24"/>
          <w:lang w:val="en-US"/>
        </w:rPr>
        <w:t>However, and d</w:t>
      </w:r>
      <w:r w:rsidR="003669BF" w:rsidRPr="006003BC">
        <w:rPr>
          <w:rFonts w:ascii="Arial Narrow" w:hAnsi="Arial Narrow"/>
          <w:sz w:val="24"/>
          <w:szCs w:val="24"/>
          <w:lang w:val="en-US"/>
        </w:rPr>
        <w:t xml:space="preserve">espite the lack of any explicit legal </w:t>
      </w:r>
      <w:r w:rsidR="004B17AC" w:rsidRPr="006003BC">
        <w:rPr>
          <w:rFonts w:ascii="Arial Narrow" w:hAnsi="Arial Narrow"/>
          <w:sz w:val="24"/>
          <w:szCs w:val="24"/>
          <w:lang w:val="en-US"/>
        </w:rPr>
        <w:t>authorization</w:t>
      </w:r>
      <w:r w:rsidR="003669BF" w:rsidRPr="006003BC">
        <w:rPr>
          <w:rFonts w:ascii="Arial Narrow" w:hAnsi="Arial Narrow"/>
          <w:sz w:val="24"/>
          <w:szCs w:val="24"/>
          <w:lang w:val="en-US"/>
        </w:rPr>
        <w:t xml:space="preserve"> to do so</w:t>
      </w:r>
      <w:r w:rsidR="00A57747">
        <w:rPr>
          <w:rFonts w:ascii="Arial Narrow" w:hAnsi="Arial Narrow"/>
          <w:sz w:val="24"/>
          <w:szCs w:val="24"/>
          <w:lang w:val="en-US"/>
        </w:rPr>
        <w:t>:</w:t>
      </w:r>
    </w:p>
    <w:p w14:paraId="29A3621A" w14:textId="14B93B61" w:rsidR="00B02214" w:rsidRPr="00CC10F6" w:rsidRDefault="00A57747" w:rsidP="00CC10F6">
      <w:pPr>
        <w:pStyle w:val="Prrafodelista"/>
        <w:numPr>
          <w:ilvl w:val="0"/>
          <w:numId w:val="21"/>
        </w:numPr>
        <w:rPr>
          <w:rFonts w:ascii="Arial Narrow" w:hAnsi="Arial Narrow"/>
          <w:sz w:val="24"/>
          <w:szCs w:val="24"/>
          <w:lang w:val="en-US"/>
        </w:rPr>
      </w:pPr>
      <w:r>
        <w:rPr>
          <w:rFonts w:ascii="Arial Narrow" w:hAnsi="Arial Narrow"/>
          <w:sz w:val="24"/>
          <w:szCs w:val="24"/>
          <w:lang w:val="en-US"/>
        </w:rPr>
        <w:t>R</w:t>
      </w:r>
      <w:r w:rsidR="00390F22" w:rsidRPr="00A57747">
        <w:rPr>
          <w:rFonts w:ascii="Arial Narrow" w:hAnsi="Arial Narrow"/>
          <w:sz w:val="24"/>
          <w:szCs w:val="24"/>
          <w:lang w:val="en-US"/>
        </w:rPr>
        <w:t xml:space="preserve">egional competition authorities have determined the scope and duration in some of their resolutions. </w:t>
      </w:r>
    </w:p>
    <w:p w14:paraId="5D057D56" w14:textId="5DEDFED2" w:rsidR="00150837" w:rsidRDefault="001F10B8" w:rsidP="00150837">
      <w:pPr>
        <w:pStyle w:val="Prrafodelista"/>
        <w:numPr>
          <w:ilvl w:val="0"/>
          <w:numId w:val="21"/>
        </w:numPr>
        <w:rPr>
          <w:rFonts w:ascii="Arial Narrow" w:hAnsi="Arial Narrow"/>
          <w:sz w:val="24"/>
          <w:szCs w:val="24"/>
          <w:lang w:val="en-US"/>
        </w:rPr>
      </w:pPr>
      <w:r>
        <w:rPr>
          <w:rFonts w:ascii="Arial Narrow" w:hAnsi="Arial Narrow"/>
          <w:sz w:val="24"/>
          <w:szCs w:val="24"/>
          <w:lang w:val="en-US"/>
        </w:rPr>
        <w:t>I</w:t>
      </w:r>
      <w:r w:rsidR="00B02214" w:rsidRPr="00B02214">
        <w:rPr>
          <w:rFonts w:ascii="Arial Narrow" w:hAnsi="Arial Narrow"/>
          <w:sz w:val="24"/>
          <w:szCs w:val="24"/>
          <w:lang w:val="en-US"/>
        </w:rPr>
        <w:t xml:space="preserve">n November 2022, the CNMC launched a public consultation on the </w:t>
      </w:r>
      <w:hyperlink r:id="rId11" w:history="1">
        <w:r w:rsidR="00B02214" w:rsidRPr="00382F2A">
          <w:rPr>
            <w:rStyle w:val="Hipervnculo"/>
            <w:rFonts w:ascii="Arial Narrow" w:hAnsi="Arial Narrow"/>
            <w:sz w:val="24"/>
            <w:szCs w:val="24"/>
            <w:lang w:val="en-US"/>
          </w:rPr>
          <w:t>draft Communication</w:t>
        </w:r>
      </w:hyperlink>
      <w:r w:rsidR="00B02214" w:rsidRPr="00B02214">
        <w:rPr>
          <w:rFonts w:ascii="Arial Narrow" w:hAnsi="Arial Narrow"/>
          <w:sz w:val="24"/>
          <w:szCs w:val="24"/>
          <w:lang w:val="en-US"/>
        </w:rPr>
        <w:t xml:space="preserve"> on the criteria for the determination of the contracting ban. One of the most controversial aspects is the assumption of the existence of the CNMC's competence to set the scope and duration of the prohibition.</w:t>
      </w:r>
    </w:p>
    <w:p w14:paraId="5EBD0104" w14:textId="32CA4133" w:rsidR="00ED2166" w:rsidRPr="005672E7" w:rsidRDefault="00150837" w:rsidP="00150837">
      <w:pPr>
        <w:rPr>
          <w:rFonts w:ascii="Arial Narrow" w:hAnsi="Arial Narrow"/>
          <w:sz w:val="24"/>
          <w:szCs w:val="24"/>
          <w:lang w:val="en-US"/>
        </w:rPr>
      </w:pPr>
      <w:r w:rsidRPr="00150837">
        <w:rPr>
          <w:rFonts w:ascii="Arial Narrow" w:hAnsi="Arial Narrow"/>
          <w:sz w:val="24"/>
          <w:szCs w:val="24"/>
          <w:lang w:val="en-US"/>
        </w:rPr>
        <w:t xml:space="preserve">In addition, </w:t>
      </w:r>
      <w:r w:rsidR="001F10B8">
        <w:rPr>
          <w:rFonts w:ascii="Arial Narrow" w:hAnsi="Arial Narrow"/>
          <w:sz w:val="24"/>
          <w:szCs w:val="24"/>
          <w:lang w:val="en-US"/>
        </w:rPr>
        <w:t xml:space="preserve">is yet to be clarified by the CJEU </w:t>
      </w:r>
      <w:r w:rsidRPr="00150837">
        <w:rPr>
          <w:rFonts w:ascii="Arial Narrow" w:hAnsi="Arial Narrow"/>
          <w:sz w:val="24"/>
          <w:szCs w:val="24"/>
          <w:lang w:val="en-US"/>
        </w:rPr>
        <w:t>under the preliminary</w:t>
      </w:r>
      <w:r w:rsidR="00286C81">
        <w:rPr>
          <w:rFonts w:ascii="Arial Narrow" w:hAnsi="Arial Narrow"/>
          <w:sz w:val="24"/>
          <w:szCs w:val="24"/>
          <w:lang w:val="en-US"/>
        </w:rPr>
        <w:t xml:space="preserve"> ruling</w:t>
      </w:r>
      <w:r w:rsidRPr="00150837">
        <w:rPr>
          <w:rFonts w:ascii="Arial Narrow" w:hAnsi="Arial Narrow"/>
          <w:sz w:val="24"/>
          <w:szCs w:val="24"/>
          <w:lang w:val="en-US"/>
        </w:rPr>
        <w:t xml:space="preserve"> </w:t>
      </w:r>
      <w:hyperlink r:id="rId12" w:history="1">
        <w:r w:rsidR="001F10B8" w:rsidRPr="003650C4">
          <w:rPr>
            <w:rStyle w:val="Hipervnculo"/>
            <w:rFonts w:ascii="Arial Narrow" w:hAnsi="Arial Narrow"/>
            <w:sz w:val="24"/>
            <w:szCs w:val="24"/>
            <w:lang w:val="en-US"/>
          </w:rPr>
          <w:t>C-66/22</w:t>
        </w:r>
      </w:hyperlink>
      <w:r w:rsidRPr="00150837">
        <w:rPr>
          <w:rFonts w:ascii="Arial Narrow" w:hAnsi="Arial Narrow"/>
          <w:sz w:val="24"/>
          <w:szCs w:val="24"/>
          <w:lang w:val="en-US"/>
        </w:rPr>
        <w:t xml:space="preserve">, </w:t>
      </w:r>
      <w:r w:rsidR="005672E7" w:rsidRPr="005672E7">
        <w:rPr>
          <w:rFonts w:ascii="Arial Narrow" w:hAnsi="Arial Narrow"/>
          <w:sz w:val="24"/>
          <w:szCs w:val="24"/>
          <w:lang w:val="en-US"/>
        </w:rPr>
        <w:t xml:space="preserve">whether the exclusion of an economic operator provided for </w:t>
      </w:r>
      <w:hyperlink r:id="rId13" w:history="1">
        <w:r w:rsidR="005672E7" w:rsidRPr="007718CC">
          <w:rPr>
            <w:rStyle w:val="Hipervnculo"/>
            <w:rFonts w:ascii="Arial Narrow" w:hAnsi="Arial Narrow"/>
            <w:sz w:val="24"/>
            <w:szCs w:val="24"/>
            <w:lang w:val="en-US"/>
          </w:rPr>
          <w:t>in Directive 2014/24/EU</w:t>
        </w:r>
      </w:hyperlink>
      <w:r w:rsidR="005672E7" w:rsidRPr="005672E7">
        <w:rPr>
          <w:rFonts w:ascii="Arial Narrow" w:hAnsi="Arial Narrow"/>
          <w:sz w:val="24"/>
          <w:szCs w:val="24"/>
          <w:lang w:val="en-US"/>
        </w:rPr>
        <w:t xml:space="preserve"> is strictly a matter </w:t>
      </w:r>
      <w:r w:rsidR="00856E28">
        <w:rPr>
          <w:rFonts w:ascii="Arial Narrow" w:hAnsi="Arial Narrow"/>
          <w:sz w:val="24"/>
          <w:szCs w:val="24"/>
          <w:lang w:val="en-US"/>
        </w:rPr>
        <w:t xml:space="preserve">subject to </w:t>
      </w:r>
      <w:r w:rsidR="005672E7" w:rsidRPr="005672E7">
        <w:rPr>
          <w:rFonts w:ascii="Arial Narrow" w:hAnsi="Arial Narrow"/>
          <w:sz w:val="24"/>
          <w:szCs w:val="24"/>
          <w:lang w:val="en-US"/>
        </w:rPr>
        <w:t xml:space="preserve">the decision of the contracting authority </w:t>
      </w:r>
      <w:r w:rsidR="00AD4DE1">
        <w:rPr>
          <w:rFonts w:ascii="Arial Narrow" w:hAnsi="Arial Narrow"/>
          <w:sz w:val="24"/>
          <w:szCs w:val="24"/>
          <w:lang w:val="en-US"/>
        </w:rPr>
        <w:t>(</w:t>
      </w:r>
      <w:r w:rsidR="005672E7" w:rsidRPr="005672E7">
        <w:rPr>
          <w:rFonts w:ascii="Arial Narrow" w:hAnsi="Arial Narrow"/>
          <w:sz w:val="24"/>
          <w:szCs w:val="24"/>
          <w:lang w:val="en-US"/>
        </w:rPr>
        <w:t>not a competition authority</w:t>
      </w:r>
      <w:r w:rsidR="00AD4DE1">
        <w:rPr>
          <w:rFonts w:ascii="Arial Narrow" w:hAnsi="Arial Narrow"/>
          <w:sz w:val="24"/>
          <w:szCs w:val="24"/>
          <w:lang w:val="en-US"/>
        </w:rPr>
        <w:t>)</w:t>
      </w:r>
      <w:r w:rsidR="005672E7" w:rsidRPr="005672E7">
        <w:rPr>
          <w:rFonts w:ascii="Arial Narrow" w:hAnsi="Arial Narrow"/>
          <w:sz w:val="24"/>
          <w:szCs w:val="24"/>
          <w:lang w:val="en-US"/>
        </w:rPr>
        <w:t xml:space="preserve">; </w:t>
      </w:r>
      <w:r w:rsidR="005406C5">
        <w:rPr>
          <w:rFonts w:ascii="Arial Narrow" w:hAnsi="Arial Narrow"/>
          <w:sz w:val="24"/>
          <w:szCs w:val="24"/>
          <w:lang w:val="en-US"/>
        </w:rPr>
        <w:t>and</w:t>
      </w:r>
      <w:r w:rsidR="005672E7" w:rsidRPr="005672E7">
        <w:rPr>
          <w:rFonts w:ascii="Arial Narrow" w:hAnsi="Arial Narrow"/>
          <w:sz w:val="24"/>
          <w:szCs w:val="24"/>
          <w:lang w:val="en-US"/>
        </w:rPr>
        <w:t xml:space="preserve"> whether the</w:t>
      </w:r>
      <w:r w:rsidR="00CA64AC">
        <w:rPr>
          <w:rFonts w:ascii="Arial Narrow" w:hAnsi="Arial Narrow"/>
          <w:sz w:val="24"/>
          <w:szCs w:val="24"/>
          <w:lang w:val="en-US"/>
        </w:rPr>
        <w:t xml:space="preserve"> national</w:t>
      </w:r>
      <w:r w:rsidR="005672E7" w:rsidRPr="005672E7">
        <w:rPr>
          <w:rFonts w:ascii="Arial Narrow" w:hAnsi="Arial Narrow"/>
          <w:sz w:val="24"/>
          <w:szCs w:val="24"/>
          <w:lang w:val="en-US"/>
        </w:rPr>
        <w:t xml:space="preserve"> legislator can replace the </w:t>
      </w:r>
      <w:r w:rsidR="007A6399">
        <w:rPr>
          <w:rFonts w:ascii="Arial Narrow" w:hAnsi="Arial Narrow"/>
          <w:sz w:val="24"/>
          <w:szCs w:val="24"/>
          <w:lang w:val="en-US"/>
        </w:rPr>
        <w:t>role</w:t>
      </w:r>
      <w:r w:rsidR="005672E7" w:rsidRPr="005672E7">
        <w:rPr>
          <w:rFonts w:ascii="Arial Narrow" w:hAnsi="Arial Narrow"/>
          <w:sz w:val="24"/>
          <w:szCs w:val="24"/>
          <w:lang w:val="en-US"/>
        </w:rPr>
        <w:t xml:space="preserve"> of the contracting authority by a decision of a competition authority imposing the prohibition as an </w:t>
      </w:r>
      <w:r w:rsidR="00CA64AC">
        <w:rPr>
          <w:rFonts w:ascii="Arial Narrow" w:hAnsi="Arial Narrow"/>
          <w:sz w:val="24"/>
          <w:szCs w:val="24"/>
          <w:lang w:val="en-US"/>
        </w:rPr>
        <w:t>ancillary</w:t>
      </w:r>
      <w:r w:rsidR="005672E7" w:rsidRPr="005672E7">
        <w:rPr>
          <w:rFonts w:ascii="Arial Narrow" w:hAnsi="Arial Narrow"/>
          <w:sz w:val="24"/>
          <w:szCs w:val="24"/>
          <w:lang w:val="en-US"/>
        </w:rPr>
        <w:t xml:space="preserve"> sanction</w:t>
      </w:r>
      <w:r w:rsidR="00041213">
        <w:rPr>
          <w:rFonts w:ascii="Arial Narrow" w:hAnsi="Arial Narrow"/>
          <w:sz w:val="24"/>
          <w:szCs w:val="24"/>
          <w:lang w:val="en-US"/>
        </w:rPr>
        <w:t xml:space="preserve"> (as pursued by the Spanish Competition Authorities).</w:t>
      </w:r>
    </w:p>
    <w:sectPr w:rsidR="00ED2166" w:rsidRPr="005672E7" w:rsidSect="005406C5">
      <w:footerReference w:type="default" r:id="rId14"/>
      <w:pgSz w:w="11906" w:h="16838"/>
      <w:pgMar w:top="851" w:right="1418" w:bottom="1304" w:left="1559" w:header="425"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2004" w14:textId="77777777" w:rsidR="002B6990" w:rsidRDefault="002B6990" w:rsidP="00452484">
      <w:pPr>
        <w:spacing w:after="0" w:line="240" w:lineRule="auto"/>
      </w:pPr>
      <w:r>
        <w:separator/>
      </w:r>
    </w:p>
  </w:endnote>
  <w:endnote w:type="continuationSeparator" w:id="0">
    <w:p w14:paraId="03DEA3E8" w14:textId="77777777" w:rsidR="002B6990" w:rsidRDefault="002B6990" w:rsidP="0045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162448"/>
      <w:docPartObj>
        <w:docPartGallery w:val="Page Numbers (Bottom of Page)"/>
        <w:docPartUnique/>
      </w:docPartObj>
    </w:sdtPr>
    <w:sdtEndPr/>
    <w:sdtContent>
      <w:p w14:paraId="34E1703A" w14:textId="01147A73" w:rsidR="002A56EB" w:rsidRDefault="002A56EB" w:rsidP="002A56EB">
        <w:pPr>
          <w:pStyle w:val="Piedep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FC38" w14:textId="77777777" w:rsidR="002B6990" w:rsidRDefault="002B6990" w:rsidP="00452484">
      <w:pPr>
        <w:spacing w:after="0" w:line="240" w:lineRule="auto"/>
      </w:pPr>
      <w:r>
        <w:separator/>
      </w:r>
    </w:p>
  </w:footnote>
  <w:footnote w:type="continuationSeparator" w:id="0">
    <w:p w14:paraId="262C2D1A" w14:textId="77777777" w:rsidR="002B6990" w:rsidRDefault="002B6990" w:rsidP="00452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BE0"/>
    <w:multiLevelType w:val="hybridMultilevel"/>
    <w:tmpl w:val="29608AEE"/>
    <w:lvl w:ilvl="0" w:tplc="FFC00E76">
      <w:start w:val="6"/>
      <w:numFmt w:val="bullet"/>
      <w:lvlText w:val="-"/>
      <w:lvlJc w:val="left"/>
      <w:pPr>
        <w:ind w:left="1001" w:hanging="360"/>
      </w:pPr>
      <w:rPr>
        <w:rFonts w:ascii="Times New Roman" w:eastAsia="Times New Roman" w:hAnsi="Times New Roman" w:cs="Times New Roman" w:hint="default"/>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1" w15:restartNumberingAfterBreak="0">
    <w:nsid w:val="12A915F4"/>
    <w:multiLevelType w:val="hybridMultilevel"/>
    <w:tmpl w:val="4D08A09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4B81944"/>
    <w:multiLevelType w:val="hybridMultilevel"/>
    <w:tmpl w:val="F70049E8"/>
    <w:lvl w:ilvl="0" w:tplc="D2C8E760">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5D40D8B"/>
    <w:multiLevelType w:val="hybridMultilevel"/>
    <w:tmpl w:val="454E115C"/>
    <w:lvl w:ilvl="0" w:tplc="CB2C06B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02129E"/>
    <w:multiLevelType w:val="hybridMultilevel"/>
    <w:tmpl w:val="B9E88B6A"/>
    <w:lvl w:ilvl="0" w:tplc="A2E4AA9C">
      <w:start w:val="14"/>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3C040C"/>
    <w:multiLevelType w:val="hybridMultilevel"/>
    <w:tmpl w:val="91DE9C3C"/>
    <w:lvl w:ilvl="0" w:tplc="2DF2E332">
      <w:start w:val="1"/>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35A83B55"/>
    <w:multiLevelType w:val="hybridMultilevel"/>
    <w:tmpl w:val="FBC2CFD4"/>
    <w:lvl w:ilvl="0" w:tplc="5F8E405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614502B"/>
    <w:multiLevelType w:val="hybridMultilevel"/>
    <w:tmpl w:val="788C0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33615A"/>
    <w:multiLevelType w:val="hybridMultilevel"/>
    <w:tmpl w:val="EEE69E60"/>
    <w:lvl w:ilvl="0" w:tplc="0C0A000F">
      <w:start w:val="1"/>
      <w:numFmt w:val="decimal"/>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9" w15:restartNumberingAfterBreak="0">
    <w:nsid w:val="46555FF7"/>
    <w:multiLevelType w:val="hybridMultilevel"/>
    <w:tmpl w:val="71181C20"/>
    <w:lvl w:ilvl="0" w:tplc="9DFEA3C0">
      <w:start w:val="1"/>
      <w:numFmt w:val="lowerLetter"/>
      <w:lvlText w:val="%1)"/>
      <w:lvlJc w:val="left"/>
      <w:pPr>
        <w:ind w:left="927" w:hanging="360"/>
      </w:pPr>
      <w:rPr>
        <w:rFonts w:hint="default"/>
        <w:sz w:val="24"/>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48B162DD"/>
    <w:multiLevelType w:val="hybridMultilevel"/>
    <w:tmpl w:val="228E22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C9236A8"/>
    <w:multiLevelType w:val="hybridMultilevel"/>
    <w:tmpl w:val="C332D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C075A5"/>
    <w:multiLevelType w:val="hybridMultilevel"/>
    <w:tmpl w:val="0E80B2C4"/>
    <w:lvl w:ilvl="0" w:tplc="B7DA99C2">
      <w:start w:val="1"/>
      <w:numFmt w:val="low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3DD19B5"/>
    <w:multiLevelType w:val="hybridMultilevel"/>
    <w:tmpl w:val="198A3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61716E"/>
    <w:multiLevelType w:val="hybridMultilevel"/>
    <w:tmpl w:val="4A227112"/>
    <w:lvl w:ilvl="0" w:tplc="0C0A0001">
      <w:start w:val="1"/>
      <w:numFmt w:val="bullet"/>
      <w:lvlText w:val=""/>
      <w:lvlJc w:val="left"/>
      <w:pPr>
        <w:ind w:left="720" w:hanging="360"/>
      </w:pPr>
      <w:rPr>
        <w:rFonts w:ascii="Symbol" w:hAnsi="Symbol" w:hint="default"/>
        <w:b/>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1D7DBD"/>
    <w:multiLevelType w:val="hybridMultilevel"/>
    <w:tmpl w:val="3F80A08E"/>
    <w:lvl w:ilvl="0" w:tplc="41641BA0">
      <w:start w:val="14"/>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BDD45AF"/>
    <w:multiLevelType w:val="hybridMultilevel"/>
    <w:tmpl w:val="223A6D6E"/>
    <w:lvl w:ilvl="0" w:tplc="F85A1A06">
      <w:start w:val="1"/>
      <w:numFmt w:val="bullet"/>
      <w:lvlText w:val="-"/>
      <w:lvlJc w:val="left"/>
      <w:pPr>
        <w:ind w:left="720" w:hanging="360"/>
      </w:pPr>
      <w:rPr>
        <w:rFonts w:ascii="Verdana" w:eastAsia="Calibri" w:hAnsi="Verdana"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FB4BB1"/>
    <w:multiLevelType w:val="hybridMultilevel"/>
    <w:tmpl w:val="3AB8FA78"/>
    <w:lvl w:ilvl="0" w:tplc="9154D2A6">
      <w:start w:val="1"/>
      <w:numFmt w:val="bullet"/>
      <w:lvlText w:val="©"/>
      <w:lvlJc w:val="left"/>
      <w:pPr>
        <w:ind w:left="360" w:hanging="360"/>
      </w:pPr>
      <w:rPr>
        <w:rFonts w:ascii="Calibri" w:hAnsi="Calibri"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837187A"/>
    <w:multiLevelType w:val="hybridMultilevel"/>
    <w:tmpl w:val="4F668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B12C93"/>
    <w:multiLevelType w:val="hybridMultilevel"/>
    <w:tmpl w:val="7A5231E6"/>
    <w:lvl w:ilvl="0" w:tplc="0C0A0005">
      <w:start w:val="1"/>
      <w:numFmt w:val="bullet"/>
      <w:lvlText w:val=""/>
      <w:lvlJc w:val="left"/>
      <w:pPr>
        <w:ind w:left="1298" w:hanging="360"/>
      </w:pPr>
      <w:rPr>
        <w:rFonts w:ascii="Wingdings" w:hAnsi="Wingdings" w:hint="default"/>
      </w:rPr>
    </w:lvl>
    <w:lvl w:ilvl="1" w:tplc="0C0A0003" w:tentative="1">
      <w:start w:val="1"/>
      <w:numFmt w:val="bullet"/>
      <w:lvlText w:val="o"/>
      <w:lvlJc w:val="left"/>
      <w:pPr>
        <w:ind w:left="2018" w:hanging="360"/>
      </w:pPr>
      <w:rPr>
        <w:rFonts w:ascii="Courier New" w:hAnsi="Courier New" w:cs="Courier New" w:hint="default"/>
      </w:rPr>
    </w:lvl>
    <w:lvl w:ilvl="2" w:tplc="0C0A0005" w:tentative="1">
      <w:start w:val="1"/>
      <w:numFmt w:val="bullet"/>
      <w:lvlText w:val=""/>
      <w:lvlJc w:val="left"/>
      <w:pPr>
        <w:ind w:left="2738" w:hanging="360"/>
      </w:pPr>
      <w:rPr>
        <w:rFonts w:ascii="Wingdings" w:hAnsi="Wingdings" w:hint="default"/>
      </w:rPr>
    </w:lvl>
    <w:lvl w:ilvl="3" w:tplc="0C0A0001" w:tentative="1">
      <w:start w:val="1"/>
      <w:numFmt w:val="bullet"/>
      <w:lvlText w:val=""/>
      <w:lvlJc w:val="left"/>
      <w:pPr>
        <w:ind w:left="3458" w:hanging="360"/>
      </w:pPr>
      <w:rPr>
        <w:rFonts w:ascii="Symbol" w:hAnsi="Symbol" w:hint="default"/>
      </w:rPr>
    </w:lvl>
    <w:lvl w:ilvl="4" w:tplc="0C0A0003" w:tentative="1">
      <w:start w:val="1"/>
      <w:numFmt w:val="bullet"/>
      <w:lvlText w:val="o"/>
      <w:lvlJc w:val="left"/>
      <w:pPr>
        <w:ind w:left="4178" w:hanging="360"/>
      </w:pPr>
      <w:rPr>
        <w:rFonts w:ascii="Courier New" w:hAnsi="Courier New" w:cs="Courier New" w:hint="default"/>
      </w:rPr>
    </w:lvl>
    <w:lvl w:ilvl="5" w:tplc="0C0A0005" w:tentative="1">
      <w:start w:val="1"/>
      <w:numFmt w:val="bullet"/>
      <w:lvlText w:val=""/>
      <w:lvlJc w:val="left"/>
      <w:pPr>
        <w:ind w:left="4898" w:hanging="360"/>
      </w:pPr>
      <w:rPr>
        <w:rFonts w:ascii="Wingdings" w:hAnsi="Wingdings" w:hint="default"/>
      </w:rPr>
    </w:lvl>
    <w:lvl w:ilvl="6" w:tplc="0C0A0001" w:tentative="1">
      <w:start w:val="1"/>
      <w:numFmt w:val="bullet"/>
      <w:lvlText w:val=""/>
      <w:lvlJc w:val="left"/>
      <w:pPr>
        <w:ind w:left="5618" w:hanging="360"/>
      </w:pPr>
      <w:rPr>
        <w:rFonts w:ascii="Symbol" w:hAnsi="Symbol" w:hint="default"/>
      </w:rPr>
    </w:lvl>
    <w:lvl w:ilvl="7" w:tplc="0C0A0003" w:tentative="1">
      <w:start w:val="1"/>
      <w:numFmt w:val="bullet"/>
      <w:lvlText w:val="o"/>
      <w:lvlJc w:val="left"/>
      <w:pPr>
        <w:ind w:left="6338" w:hanging="360"/>
      </w:pPr>
      <w:rPr>
        <w:rFonts w:ascii="Courier New" w:hAnsi="Courier New" w:cs="Courier New" w:hint="default"/>
      </w:rPr>
    </w:lvl>
    <w:lvl w:ilvl="8" w:tplc="0C0A0005" w:tentative="1">
      <w:start w:val="1"/>
      <w:numFmt w:val="bullet"/>
      <w:lvlText w:val=""/>
      <w:lvlJc w:val="left"/>
      <w:pPr>
        <w:ind w:left="7058" w:hanging="360"/>
      </w:pPr>
      <w:rPr>
        <w:rFonts w:ascii="Wingdings" w:hAnsi="Wingdings" w:hint="default"/>
      </w:rPr>
    </w:lvl>
  </w:abstractNum>
  <w:abstractNum w:abstractNumId="20" w15:restartNumberingAfterBreak="0">
    <w:nsid w:val="7F066EE2"/>
    <w:multiLevelType w:val="hybridMultilevel"/>
    <w:tmpl w:val="0AB07A30"/>
    <w:lvl w:ilvl="0" w:tplc="5184A64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5390668">
    <w:abstractNumId w:val="17"/>
  </w:num>
  <w:num w:numId="2" w16cid:durableId="1988506483">
    <w:abstractNumId w:val="18"/>
  </w:num>
  <w:num w:numId="3" w16cid:durableId="1556814006">
    <w:abstractNumId w:val="14"/>
  </w:num>
  <w:num w:numId="4" w16cid:durableId="462164258">
    <w:abstractNumId w:val="10"/>
  </w:num>
  <w:num w:numId="5" w16cid:durableId="1585069141">
    <w:abstractNumId w:val="1"/>
  </w:num>
  <w:num w:numId="6" w16cid:durableId="1491602642">
    <w:abstractNumId w:val="9"/>
  </w:num>
  <w:num w:numId="7" w16cid:durableId="1184130943">
    <w:abstractNumId w:val="8"/>
  </w:num>
  <w:num w:numId="8" w16cid:durableId="127943937">
    <w:abstractNumId w:val="19"/>
  </w:num>
  <w:num w:numId="9" w16cid:durableId="1963265681">
    <w:abstractNumId w:val="6"/>
  </w:num>
  <w:num w:numId="10" w16cid:durableId="256407467">
    <w:abstractNumId w:val="11"/>
  </w:num>
  <w:num w:numId="11" w16cid:durableId="599608292">
    <w:abstractNumId w:val="13"/>
  </w:num>
  <w:num w:numId="12" w16cid:durableId="638533871">
    <w:abstractNumId w:val="7"/>
  </w:num>
  <w:num w:numId="13" w16cid:durableId="807866431">
    <w:abstractNumId w:val="5"/>
  </w:num>
  <w:num w:numId="14" w16cid:durableId="1298873242">
    <w:abstractNumId w:val="4"/>
  </w:num>
  <w:num w:numId="15" w16cid:durableId="458450744">
    <w:abstractNumId w:val="15"/>
  </w:num>
  <w:num w:numId="16" w16cid:durableId="1403212788">
    <w:abstractNumId w:val="16"/>
  </w:num>
  <w:num w:numId="17" w16cid:durableId="502479007">
    <w:abstractNumId w:val="0"/>
  </w:num>
  <w:num w:numId="18" w16cid:durableId="415053187">
    <w:abstractNumId w:val="20"/>
  </w:num>
  <w:num w:numId="19" w16cid:durableId="499856806">
    <w:abstractNumId w:val="2"/>
  </w:num>
  <w:num w:numId="20" w16cid:durableId="291137178">
    <w:abstractNumId w:val="3"/>
  </w:num>
  <w:num w:numId="21" w16cid:durableId="1985137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C3"/>
    <w:rsid w:val="00006B6B"/>
    <w:rsid w:val="00020316"/>
    <w:rsid w:val="0002423D"/>
    <w:rsid w:val="00026EFA"/>
    <w:rsid w:val="00041213"/>
    <w:rsid w:val="0004347C"/>
    <w:rsid w:val="00050D48"/>
    <w:rsid w:val="00055198"/>
    <w:rsid w:val="0006109E"/>
    <w:rsid w:val="0006149D"/>
    <w:rsid w:val="0006414F"/>
    <w:rsid w:val="00076972"/>
    <w:rsid w:val="00077380"/>
    <w:rsid w:val="000841C2"/>
    <w:rsid w:val="000859E9"/>
    <w:rsid w:val="000B124D"/>
    <w:rsid w:val="000B4888"/>
    <w:rsid w:val="000B6E6D"/>
    <w:rsid w:val="000C64A7"/>
    <w:rsid w:val="000D5B19"/>
    <w:rsid w:val="000E1375"/>
    <w:rsid w:val="000F1BC8"/>
    <w:rsid w:val="000F5AA3"/>
    <w:rsid w:val="00106026"/>
    <w:rsid w:val="0011436E"/>
    <w:rsid w:val="00114BF3"/>
    <w:rsid w:val="00120160"/>
    <w:rsid w:val="00131002"/>
    <w:rsid w:val="00132A05"/>
    <w:rsid w:val="00136F4C"/>
    <w:rsid w:val="00150837"/>
    <w:rsid w:val="001520FE"/>
    <w:rsid w:val="00156EEA"/>
    <w:rsid w:val="00193239"/>
    <w:rsid w:val="001A4EF1"/>
    <w:rsid w:val="001A7581"/>
    <w:rsid w:val="001B1297"/>
    <w:rsid w:val="001D1B00"/>
    <w:rsid w:val="001D246A"/>
    <w:rsid w:val="001E3F9D"/>
    <w:rsid w:val="001E7113"/>
    <w:rsid w:val="001F10B8"/>
    <w:rsid w:val="001F4663"/>
    <w:rsid w:val="00207B6C"/>
    <w:rsid w:val="00217745"/>
    <w:rsid w:val="00224DC6"/>
    <w:rsid w:val="00240639"/>
    <w:rsid w:val="002477D3"/>
    <w:rsid w:val="00271F00"/>
    <w:rsid w:val="002758E3"/>
    <w:rsid w:val="00286C81"/>
    <w:rsid w:val="002A4A2B"/>
    <w:rsid w:val="002A56EB"/>
    <w:rsid w:val="002B27E6"/>
    <w:rsid w:val="002B6990"/>
    <w:rsid w:val="002C341B"/>
    <w:rsid w:val="0031105D"/>
    <w:rsid w:val="00322812"/>
    <w:rsid w:val="00322B01"/>
    <w:rsid w:val="003240F1"/>
    <w:rsid w:val="0032576E"/>
    <w:rsid w:val="003415A0"/>
    <w:rsid w:val="003425CD"/>
    <w:rsid w:val="003650C4"/>
    <w:rsid w:val="003669BF"/>
    <w:rsid w:val="003704A7"/>
    <w:rsid w:val="00373B5D"/>
    <w:rsid w:val="00375078"/>
    <w:rsid w:val="00382F2A"/>
    <w:rsid w:val="00384BB0"/>
    <w:rsid w:val="00390F22"/>
    <w:rsid w:val="0039478F"/>
    <w:rsid w:val="00394D27"/>
    <w:rsid w:val="003A3E03"/>
    <w:rsid w:val="003A5AA8"/>
    <w:rsid w:val="003A698D"/>
    <w:rsid w:val="003D1152"/>
    <w:rsid w:val="003D245F"/>
    <w:rsid w:val="003E1840"/>
    <w:rsid w:val="003E391F"/>
    <w:rsid w:val="003F209A"/>
    <w:rsid w:val="003F6448"/>
    <w:rsid w:val="0040421E"/>
    <w:rsid w:val="00404AD3"/>
    <w:rsid w:val="00406793"/>
    <w:rsid w:val="00413304"/>
    <w:rsid w:val="00423B58"/>
    <w:rsid w:val="00427379"/>
    <w:rsid w:val="00436355"/>
    <w:rsid w:val="00437113"/>
    <w:rsid w:val="00437FEE"/>
    <w:rsid w:val="004433DD"/>
    <w:rsid w:val="00452484"/>
    <w:rsid w:val="0045360B"/>
    <w:rsid w:val="00462B6A"/>
    <w:rsid w:val="00477EB0"/>
    <w:rsid w:val="004817DD"/>
    <w:rsid w:val="00484E38"/>
    <w:rsid w:val="004A2978"/>
    <w:rsid w:val="004B17AC"/>
    <w:rsid w:val="004C17A7"/>
    <w:rsid w:val="004C4BED"/>
    <w:rsid w:val="004E3886"/>
    <w:rsid w:val="004F2303"/>
    <w:rsid w:val="005067CB"/>
    <w:rsid w:val="00511CFD"/>
    <w:rsid w:val="00512A94"/>
    <w:rsid w:val="00513050"/>
    <w:rsid w:val="005165BA"/>
    <w:rsid w:val="00530B4A"/>
    <w:rsid w:val="005406C5"/>
    <w:rsid w:val="00540C92"/>
    <w:rsid w:val="005426DA"/>
    <w:rsid w:val="00546B2A"/>
    <w:rsid w:val="00547387"/>
    <w:rsid w:val="005503C7"/>
    <w:rsid w:val="00553A38"/>
    <w:rsid w:val="00553FCB"/>
    <w:rsid w:val="00557B52"/>
    <w:rsid w:val="005672E7"/>
    <w:rsid w:val="00573B74"/>
    <w:rsid w:val="00574EB0"/>
    <w:rsid w:val="00577ABF"/>
    <w:rsid w:val="00584230"/>
    <w:rsid w:val="00590954"/>
    <w:rsid w:val="00595FB9"/>
    <w:rsid w:val="00597A13"/>
    <w:rsid w:val="005A345B"/>
    <w:rsid w:val="005C0B9D"/>
    <w:rsid w:val="005C7591"/>
    <w:rsid w:val="005D43F3"/>
    <w:rsid w:val="005E139E"/>
    <w:rsid w:val="006003BC"/>
    <w:rsid w:val="006126A2"/>
    <w:rsid w:val="00624174"/>
    <w:rsid w:val="00631048"/>
    <w:rsid w:val="00643EF1"/>
    <w:rsid w:val="00644CC7"/>
    <w:rsid w:val="00651F03"/>
    <w:rsid w:val="00652BE0"/>
    <w:rsid w:val="00653328"/>
    <w:rsid w:val="00653A86"/>
    <w:rsid w:val="00656E11"/>
    <w:rsid w:val="00660017"/>
    <w:rsid w:val="006670D1"/>
    <w:rsid w:val="00675AB7"/>
    <w:rsid w:val="00677F5E"/>
    <w:rsid w:val="0068553F"/>
    <w:rsid w:val="006913EC"/>
    <w:rsid w:val="00692E0F"/>
    <w:rsid w:val="00693BD2"/>
    <w:rsid w:val="006954B4"/>
    <w:rsid w:val="00697B5F"/>
    <w:rsid w:val="006B436E"/>
    <w:rsid w:val="006C12CE"/>
    <w:rsid w:val="006C4A2B"/>
    <w:rsid w:val="006C7C02"/>
    <w:rsid w:val="006D6624"/>
    <w:rsid w:val="007232D5"/>
    <w:rsid w:val="00741874"/>
    <w:rsid w:val="00752D67"/>
    <w:rsid w:val="0075542E"/>
    <w:rsid w:val="00760C5B"/>
    <w:rsid w:val="00761F26"/>
    <w:rsid w:val="0076381C"/>
    <w:rsid w:val="007718CC"/>
    <w:rsid w:val="00772EC3"/>
    <w:rsid w:val="007768F6"/>
    <w:rsid w:val="00794810"/>
    <w:rsid w:val="007A6399"/>
    <w:rsid w:val="007B01DD"/>
    <w:rsid w:val="007B4A30"/>
    <w:rsid w:val="007D2935"/>
    <w:rsid w:val="007E31C9"/>
    <w:rsid w:val="007F6F33"/>
    <w:rsid w:val="008001EB"/>
    <w:rsid w:val="008041D9"/>
    <w:rsid w:val="00830A98"/>
    <w:rsid w:val="00831969"/>
    <w:rsid w:val="00834C82"/>
    <w:rsid w:val="00845CB8"/>
    <w:rsid w:val="00856E28"/>
    <w:rsid w:val="0089166C"/>
    <w:rsid w:val="00897DDB"/>
    <w:rsid w:val="008A60EC"/>
    <w:rsid w:val="008A62F4"/>
    <w:rsid w:val="008B2DAC"/>
    <w:rsid w:val="008B61B8"/>
    <w:rsid w:val="008C6254"/>
    <w:rsid w:val="008C7905"/>
    <w:rsid w:val="008E2192"/>
    <w:rsid w:val="008F29A4"/>
    <w:rsid w:val="008F4F62"/>
    <w:rsid w:val="008F5A63"/>
    <w:rsid w:val="0091131E"/>
    <w:rsid w:val="00932B98"/>
    <w:rsid w:val="00942924"/>
    <w:rsid w:val="00947FB9"/>
    <w:rsid w:val="009533B8"/>
    <w:rsid w:val="009649F0"/>
    <w:rsid w:val="00964C72"/>
    <w:rsid w:val="00965440"/>
    <w:rsid w:val="0097761A"/>
    <w:rsid w:val="0098013C"/>
    <w:rsid w:val="00980310"/>
    <w:rsid w:val="009817CB"/>
    <w:rsid w:val="00984630"/>
    <w:rsid w:val="00987844"/>
    <w:rsid w:val="00994284"/>
    <w:rsid w:val="00994E2B"/>
    <w:rsid w:val="009A0905"/>
    <w:rsid w:val="009A1513"/>
    <w:rsid w:val="009B6835"/>
    <w:rsid w:val="009D2FED"/>
    <w:rsid w:val="009E3062"/>
    <w:rsid w:val="009E3928"/>
    <w:rsid w:val="009F1283"/>
    <w:rsid w:val="009F7182"/>
    <w:rsid w:val="00A04AB1"/>
    <w:rsid w:val="00A04D10"/>
    <w:rsid w:val="00A2401F"/>
    <w:rsid w:val="00A53183"/>
    <w:rsid w:val="00A55C89"/>
    <w:rsid w:val="00A57747"/>
    <w:rsid w:val="00A63EE4"/>
    <w:rsid w:val="00A72B6D"/>
    <w:rsid w:val="00A73F2B"/>
    <w:rsid w:val="00A74B46"/>
    <w:rsid w:val="00A751CD"/>
    <w:rsid w:val="00A75A50"/>
    <w:rsid w:val="00A86621"/>
    <w:rsid w:val="00A905E3"/>
    <w:rsid w:val="00AA4F9D"/>
    <w:rsid w:val="00AD32E4"/>
    <w:rsid w:val="00AD4DE1"/>
    <w:rsid w:val="00AD7688"/>
    <w:rsid w:val="00AE7A0E"/>
    <w:rsid w:val="00AF14B0"/>
    <w:rsid w:val="00B00148"/>
    <w:rsid w:val="00B02214"/>
    <w:rsid w:val="00B15214"/>
    <w:rsid w:val="00B16465"/>
    <w:rsid w:val="00B356F2"/>
    <w:rsid w:val="00B3694C"/>
    <w:rsid w:val="00B3738C"/>
    <w:rsid w:val="00B418C6"/>
    <w:rsid w:val="00B435CF"/>
    <w:rsid w:val="00B4373E"/>
    <w:rsid w:val="00B62C7F"/>
    <w:rsid w:val="00B661DE"/>
    <w:rsid w:val="00B82045"/>
    <w:rsid w:val="00B94B4F"/>
    <w:rsid w:val="00BA7183"/>
    <w:rsid w:val="00BB7F0D"/>
    <w:rsid w:val="00BC0319"/>
    <w:rsid w:val="00BC603C"/>
    <w:rsid w:val="00BC6719"/>
    <w:rsid w:val="00BE2FAA"/>
    <w:rsid w:val="00BE45E1"/>
    <w:rsid w:val="00C00576"/>
    <w:rsid w:val="00C06687"/>
    <w:rsid w:val="00C145CF"/>
    <w:rsid w:val="00C21279"/>
    <w:rsid w:val="00C3222A"/>
    <w:rsid w:val="00C338E1"/>
    <w:rsid w:val="00C36E0A"/>
    <w:rsid w:val="00C421C8"/>
    <w:rsid w:val="00C424ED"/>
    <w:rsid w:val="00C571F2"/>
    <w:rsid w:val="00C659BA"/>
    <w:rsid w:val="00C67DD9"/>
    <w:rsid w:val="00C906BB"/>
    <w:rsid w:val="00C91FFF"/>
    <w:rsid w:val="00C924F5"/>
    <w:rsid w:val="00CA6198"/>
    <w:rsid w:val="00CA64AC"/>
    <w:rsid w:val="00CB5371"/>
    <w:rsid w:val="00CB6791"/>
    <w:rsid w:val="00CC0D35"/>
    <w:rsid w:val="00CC10F6"/>
    <w:rsid w:val="00CC1CA0"/>
    <w:rsid w:val="00CE14AC"/>
    <w:rsid w:val="00CF29E9"/>
    <w:rsid w:val="00CF585A"/>
    <w:rsid w:val="00D01F12"/>
    <w:rsid w:val="00D063FA"/>
    <w:rsid w:val="00D15A88"/>
    <w:rsid w:val="00D24BA4"/>
    <w:rsid w:val="00D32A93"/>
    <w:rsid w:val="00D44CD4"/>
    <w:rsid w:val="00D453F4"/>
    <w:rsid w:val="00D45A75"/>
    <w:rsid w:val="00D50044"/>
    <w:rsid w:val="00D516BA"/>
    <w:rsid w:val="00D62CC1"/>
    <w:rsid w:val="00D67DA7"/>
    <w:rsid w:val="00D725D9"/>
    <w:rsid w:val="00D82BD9"/>
    <w:rsid w:val="00D86A48"/>
    <w:rsid w:val="00D93376"/>
    <w:rsid w:val="00DA3FDA"/>
    <w:rsid w:val="00DA4EFF"/>
    <w:rsid w:val="00DB0740"/>
    <w:rsid w:val="00DB6082"/>
    <w:rsid w:val="00DE3863"/>
    <w:rsid w:val="00DE4BC9"/>
    <w:rsid w:val="00E05F37"/>
    <w:rsid w:val="00E07228"/>
    <w:rsid w:val="00E1216D"/>
    <w:rsid w:val="00E159E2"/>
    <w:rsid w:val="00E30BAF"/>
    <w:rsid w:val="00E446E9"/>
    <w:rsid w:val="00E56069"/>
    <w:rsid w:val="00E66649"/>
    <w:rsid w:val="00E73C1B"/>
    <w:rsid w:val="00E75A60"/>
    <w:rsid w:val="00E8406C"/>
    <w:rsid w:val="00E86141"/>
    <w:rsid w:val="00EA18EA"/>
    <w:rsid w:val="00EA4A60"/>
    <w:rsid w:val="00EA59F6"/>
    <w:rsid w:val="00EB1568"/>
    <w:rsid w:val="00EC3410"/>
    <w:rsid w:val="00ED2166"/>
    <w:rsid w:val="00ED23C2"/>
    <w:rsid w:val="00EE2C72"/>
    <w:rsid w:val="00EE7F9D"/>
    <w:rsid w:val="00EF27C6"/>
    <w:rsid w:val="00F01FB1"/>
    <w:rsid w:val="00F149EA"/>
    <w:rsid w:val="00F267C5"/>
    <w:rsid w:val="00F60960"/>
    <w:rsid w:val="00F70525"/>
    <w:rsid w:val="00F71E90"/>
    <w:rsid w:val="00F74F56"/>
    <w:rsid w:val="00F8368B"/>
    <w:rsid w:val="00F946D6"/>
    <w:rsid w:val="00FA1891"/>
    <w:rsid w:val="00FA1DE5"/>
    <w:rsid w:val="00FA6A72"/>
    <w:rsid w:val="00FB50E0"/>
    <w:rsid w:val="00FB6477"/>
    <w:rsid w:val="00FC3595"/>
    <w:rsid w:val="00FC3D05"/>
    <w:rsid w:val="00FD1507"/>
    <w:rsid w:val="00FD3715"/>
    <w:rsid w:val="00FD45A0"/>
    <w:rsid w:val="00FE5A83"/>
    <w:rsid w:val="00FE5AEA"/>
    <w:rsid w:val="00FE6637"/>
    <w:rsid w:val="00FE7676"/>
    <w:rsid w:val="00FF1A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DDBFB"/>
  <w15:chartTrackingRefBased/>
  <w15:docId w15:val="{23F36D6B-B0B0-4A92-ABB7-64C6F799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2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91FFF"/>
    <w:pPr>
      <w:autoSpaceDE w:val="0"/>
      <w:autoSpaceDN w:val="0"/>
      <w:adjustRightInd w:val="0"/>
      <w:spacing w:after="0" w:line="240" w:lineRule="auto"/>
    </w:pPr>
    <w:rPr>
      <w:rFonts w:ascii="Calibri" w:hAnsi="Calibri" w:cs="Calibri"/>
      <w:color w:val="000000"/>
      <w:sz w:val="24"/>
      <w:szCs w:val="24"/>
    </w:rPr>
  </w:style>
  <w:style w:type="character" w:styleId="nfasis">
    <w:name w:val="Emphasis"/>
    <w:basedOn w:val="Fuentedeprrafopredeter"/>
    <w:uiPriority w:val="20"/>
    <w:qFormat/>
    <w:rsid w:val="00984630"/>
    <w:rPr>
      <w:i/>
      <w:iCs/>
    </w:rPr>
  </w:style>
  <w:style w:type="character" w:styleId="Textoennegrita">
    <w:name w:val="Strong"/>
    <w:basedOn w:val="Fuentedeprrafopredeter"/>
    <w:uiPriority w:val="22"/>
    <w:qFormat/>
    <w:rsid w:val="00984630"/>
    <w:rPr>
      <w:b/>
      <w:bCs/>
    </w:rPr>
  </w:style>
  <w:style w:type="character" w:styleId="Hipervnculo">
    <w:name w:val="Hyperlink"/>
    <w:basedOn w:val="Fuentedeprrafopredeter"/>
    <w:uiPriority w:val="99"/>
    <w:unhideWhenUsed/>
    <w:rsid w:val="00DB6082"/>
    <w:rPr>
      <w:color w:val="0563C1" w:themeColor="hyperlink"/>
      <w:u w:val="single"/>
    </w:rPr>
  </w:style>
  <w:style w:type="character" w:styleId="Mencinsinresolver">
    <w:name w:val="Unresolved Mention"/>
    <w:basedOn w:val="Fuentedeprrafopredeter"/>
    <w:uiPriority w:val="99"/>
    <w:semiHidden/>
    <w:unhideWhenUsed/>
    <w:rsid w:val="00DB6082"/>
    <w:rPr>
      <w:color w:val="605E5C"/>
      <w:shd w:val="clear" w:color="auto" w:fill="E1DFDD"/>
    </w:rPr>
  </w:style>
  <w:style w:type="paragraph" w:styleId="Encabezado">
    <w:name w:val="header"/>
    <w:basedOn w:val="Normal"/>
    <w:link w:val="EncabezadoCar"/>
    <w:uiPriority w:val="99"/>
    <w:unhideWhenUsed/>
    <w:rsid w:val="004524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2484"/>
  </w:style>
  <w:style w:type="paragraph" w:styleId="Piedepgina">
    <w:name w:val="footer"/>
    <w:basedOn w:val="Normal"/>
    <w:link w:val="PiedepginaCar"/>
    <w:uiPriority w:val="99"/>
    <w:unhideWhenUsed/>
    <w:rsid w:val="004524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2484"/>
  </w:style>
  <w:style w:type="character" w:styleId="Hipervnculovisitado">
    <w:name w:val="FollowedHyperlink"/>
    <w:basedOn w:val="Fuentedeprrafopredeter"/>
    <w:uiPriority w:val="99"/>
    <w:semiHidden/>
    <w:unhideWhenUsed/>
    <w:rsid w:val="00A86621"/>
    <w:rPr>
      <w:color w:val="954F72" w:themeColor="followedHyperlink"/>
      <w:u w:val="single"/>
    </w:rPr>
  </w:style>
  <w:style w:type="paragraph" w:styleId="Prrafodelista">
    <w:name w:val="List Paragraph"/>
    <w:basedOn w:val="Normal"/>
    <w:uiPriority w:val="34"/>
    <w:qFormat/>
    <w:rsid w:val="009E3928"/>
    <w:pPr>
      <w:ind w:left="720"/>
      <w:contextualSpacing/>
    </w:pPr>
  </w:style>
  <w:style w:type="paragraph" w:styleId="NormalWeb">
    <w:name w:val="Normal (Web)"/>
    <w:basedOn w:val="Normal"/>
    <w:uiPriority w:val="99"/>
    <w:unhideWhenUsed/>
    <w:rsid w:val="009E392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59"/>
    <w:rsid w:val="00A0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2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A5AA8"/>
    <w:pPr>
      <w:spacing w:after="0" w:line="240" w:lineRule="auto"/>
    </w:pPr>
  </w:style>
  <w:style w:type="character" w:customStyle="1" w:styleId="ui-provider">
    <w:name w:val="ui-provider"/>
    <w:basedOn w:val="Fuentedeprrafopredeter"/>
    <w:rsid w:val="00947FB9"/>
  </w:style>
  <w:style w:type="character" w:styleId="Refdecomentario">
    <w:name w:val="annotation reference"/>
    <w:basedOn w:val="Fuentedeprrafopredeter"/>
    <w:uiPriority w:val="99"/>
    <w:semiHidden/>
    <w:unhideWhenUsed/>
    <w:rsid w:val="00286C81"/>
    <w:rPr>
      <w:sz w:val="16"/>
      <w:szCs w:val="16"/>
    </w:rPr>
  </w:style>
  <w:style w:type="paragraph" w:styleId="Textocomentario">
    <w:name w:val="annotation text"/>
    <w:basedOn w:val="Normal"/>
    <w:link w:val="TextocomentarioCar"/>
    <w:uiPriority w:val="99"/>
    <w:unhideWhenUsed/>
    <w:rsid w:val="00286C81"/>
    <w:pPr>
      <w:spacing w:line="240" w:lineRule="auto"/>
    </w:pPr>
    <w:rPr>
      <w:sz w:val="20"/>
      <w:szCs w:val="20"/>
    </w:rPr>
  </w:style>
  <w:style w:type="character" w:customStyle="1" w:styleId="TextocomentarioCar">
    <w:name w:val="Texto comentario Car"/>
    <w:basedOn w:val="Fuentedeprrafopredeter"/>
    <w:link w:val="Textocomentario"/>
    <w:uiPriority w:val="99"/>
    <w:rsid w:val="00286C81"/>
    <w:rPr>
      <w:sz w:val="20"/>
      <w:szCs w:val="20"/>
    </w:rPr>
  </w:style>
  <w:style w:type="paragraph" w:styleId="Asuntodelcomentario">
    <w:name w:val="annotation subject"/>
    <w:basedOn w:val="Textocomentario"/>
    <w:next w:val="Textocomentario"/>
    <w:link w:val="AsuntodelcomentarioCar"/>
    <w:uiPriority w:val="99"/>
    <w:semiHidden/>
    <w:unhideWhenUsed/>
    <w:rsid w:val="00286C81"/>
    <w:rPr>
      <w:b/>
      <w:bCs/>
    </w:rPr>
  </w:style>
  <w:style w:type="character" w:customStyle="1" w:styleId="AsuntodelcomentarioCar">
    <w:name w:val="Asunto del comentario Car"/>
    <w:basedOn w:val="TextocomentarioCar"/>
    <w:link w:val="Asuntodelcomentario"/>
    <w:uiPriority w:val="99"/>
    <w:semiHidden/>
    <w:rsid w:val="00286C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1047">
      <w:bodyDiv w:val="1"/>
      <w:marLeft w:val="0"/>
      <w:marRight w:val="0"/>
      <w:marTop w:val="0"/>
      <w:marBottom w:val="0"/>
      <w:divBdr>
        <w:top w:val="none" w:sz="0" w:space="0" w:color="auto"/>
        <w:left w:val="none" w:sz="0" w:space="0" w:color="auto"/>
        <w:bottom w:val="none" w:sz="0" w:space="0" w:color="auto"/>
        <w:right w:val="none" w:sz="0" w:space="0" w:color="auto"/>
      </w:divBdr>
    </w:div>
    <w:div w:id="622543743">
      <w:bodyDiv w:val="1"/>
      <w:marLeft w:val="0"/>
      <w:marRight w:val="0"/>
      <w:marTop w:val="0"/>
      <w:marBottom w:val="0"/>
      <w:divBdr>
        <w:top w:val="none" w:sz="0" w:space="0" w:color="auto"/>
        <w:left w:val="none" w:sz="0" w:space="0" w:color="auto"/>
        <w:bottom w:val="none" w:sz="0" w:space="0" w:color="auto"/>
        <w:right w:val="none" w:sz="0" w:space="0" w:color="auto"/>
      </w:divBdr>
    </w:div>
    <w:div w:id="904030618">
      <w:bodyDiv w:val="1"/>
      <w:marLeft w:val="0"/>
      <w:marRight w:val="0"/>
      <w:marTop w:val="0"/>
      <w:marBottom w:val="0"/>
      <w:divBdr>
        <w:top w:val="none" w:sz="0" w:space="0" w:color="auto"/>
        <w:left w:val="none" w:sz="0" w:space="0" w:color="auto"/>
        <w:bottom w:val="none" w:sz="0" w:space="0" w:color="auto"/>
        <w:right w:val="none" w:sz="0" w:space="0" w:color="auto"/>
      </w:divBdr>
    </w:div>
    <w:div w:id="964389851">
      <w:bodyDiv w:val="1"/>
      <w:marLeft w:val="0"/>
      <w:marRight w:val="0"/>
      <w:marTop w:val="0"/>
      <w:marBottom w:val="0"/>
      <w:divBdr>
        <w:top w:val="none" w:sz="0" w:space="0" w:color="auto"/>
        <w:left w:val="none" w:sz="0" w:space="0" w:color="auto"/>
        <w:bottom w:val="none" w:sz="0" w:space="0" w:color="auto"/>
        <w:right w:val="none" w:sz="0" w:space="0" w:color="auto"/>
      </w:divBdr>
    </w:div>
    <w:div w:id="1060635796">
      <w:bodyDiv w:val="1"/>
      <w:marLeft w:val="0"/>
      <w:marRight w:val="0"/>
      <w:marTop w:val="0"/>
      <w:marBottom w:val="0"/>
      <w:divBdr>
        <w:top w:val="none" w:sz="0" w:space="0" w:color="auto"/>
        <w:left w:val="none" w:sz="0" w:space="0" w:color="auto"/>
        <w:bottom w:val="none" w:sz="0" w:space="0" w:color="auto"/>
        <w:right w:val="none" w:sz="0" w:space="0" w:color="auto"/>
      </w:divBdr>
    </w:div>
    <w:div w:id="1082793533">
      <w:bodyDiv w:val="1"/>
      <w:marLeft w:val="0"/>
      <w:marRight w:val="0"/>
      <w:marTop w:val="0"/>
      <w:marBottom w:val="0"/>
      <w:divBdr>
        <w:top w:val="none" w:sz="0" w:space="0" w:color="auto"/>
        <w:left w:val="none" w:sz="0" w:space="0" w:color="auto"/>
        <w:bottom w:val="none" w:sz="0" w:space="0" w:color="auto"/>
        <w:right w:val="none" w:sz="0" w:space="0" w:color="auto"/>
      </w:divBdr>
    </w:div>
    <w:div w:id="1176070355">
      <w:bodyDiv w:val="1"/>
      <w:marLeft w:val="0"/>
      <w:marRight w:val="0"/>
      <w:marTop w:val="0"/>
      <w:marBottom w:val="0"/>
      <w:divBdr>
        <w:top w:val="none" w:sz="0" w:space="0" w:color="auto"/>
        <w:left w:val="none" w:sz="0" w:space="0" w:color="auto"/>
        <w:bottom w:val="none" w:sz="0" w:space="0" w:color="auto"/>
        <w:right w:val="none" w:sz="0" w:space="0" w:color="auto"/>
      </w:divBdr>
    </w:div>
    <w:div w:id="1203126789">
      <w:bodyDiv w:val="1"/>
      <w:marLeft w:val="0"/>
      <w:marRight w:val="0"/>
      <w:marTop w:val="0"/>
      <w:marBottom w:val="0"/>
      <w:divBdr>
        <w:top w:val="none" w:sz="0" w:space="0" w:color="auto"/>
        <w:left w:val="none" w:sz="0" w:space="0" w:color="auto"/>
        <w:bottom w:val="none" w:sz="0" w:space="0" w:color="auto"/>
        <w:right w:val="none" w:sz="0" w:space="0" w:color="auto"/>
      </w:divBdr>
    </w:div>
    <w:div w:id="1489517095">
      <w:bodyDiv w:val="1"/>
      <w:marLeft w:val="0"/>
      <w:marRight w:val="0"/>
      <w:marTop w:val="0"/>
      <w:marBottom w:val="0"/>
      <w:divBdr>
        <w:top w:val="none" w:sz="0" w:space="0" w:color="auto"/>
        <w:left w:val="none" w:sz="0" w:space="0" w:color="auto"/>
        <w:bottom w:val="none" w:sz="0" w:space="0" w:color="auto"/>
        <w:right w:val="none" w:sz="0" w:space="0" w:color="auto"/>
      </w:divBdr>
    </w:div>
    <w:div w:id="1717585343">
      <w:bodyDiv w:val="1"/>
      <w:marLeft w:val="0"/>
      <w:marRight w:val="0"/>
      <w:marTop w:val="0"/>
      <w:marBottom w:val="0"/>
      <w:divBdr>
        <w:top w:val="none" w:sz="0" w:space="0" w:color="auto"/>
        <w:left w:val="none" w:sz="0" w:space="0" w:color="auto"/>
        <w:bottom w:val="none" w:sz="0" w:space="0" w:color="auto"/>
        <w:right w:val="none" w:sz="0" w:space="0" w:color="auto"/>
      </w:divBdr>
    </w:div>
    <w:div w:id="1940748378">
      <w:bodyDiv w:val="1"/>
      <w:marLeft w:val="0"/>
      <w:marRight w:val="0"/>
      <w:marTop w:val="0"/>
      <w:marBottom w:val="0"/>
      <w:divBdr>
        <w:top w:val="none" w:sz="0" w:space="0" w:color="auto"/>
        <w:left w:val="none" w:sz="0" w:space="0" w:color="auto"/>
        <w:bottom w:val="none" w:sz="0" w:space="0" w:color="auto"/>
        <w:right w:val="none" w:sz="0" w:space="0" w:color="auto"/>
      </w:divBdr>
    </w:div>
    <w:div w:id="19951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EN/TXT/PDF/?uri=CELEX:32014L0024&amp;from=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uria.europa.eu/juris/document/document.jsf?text=&amp;docid=259771&amp;pageIndex=0&amp;doclang=EN&amp;mode=lst&amp;dir=&amp;occ=first&amp;part=1&amp;cid=768397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mc.es/sites/default/files/editor_contenidos/Competencia/1_Comunicacion_AJ_02_22_Borrador%20comunicaci%C3%B3n%20prohibici%C3%B3n%20de%20contratar%20CNMC.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cco.gencat.cat/web/.content/80_acco/documents/arxius/actuacions/20200121_Resolucion-exp.-94.18-PUB.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 B R O S E T A ! 1 3 6 9 0 2 9 2 . 1 < / d o c u m e n t i d >  
     < s e n d e r i d > I B O N O < / s e n d e r i d >  
     < s e n d e r e m a i l > I B O N O @ B R O S E T A . C O M < / s e n d e r e m a i l >  
     < l a s t m o d i f i e d > 2 0 2 2 - 0 9 - 2 2 T 1 2 : 3 8 : 0 0 . 0 0 0 0 0 0 0 + 0 2 : 0 0 < / l a s t m o d i f i e d >  
     < d a t a b a s e > B R O S E T A < / d a t a b a s e >  
 < / p r o p e r t i e s > 
</file>

<file path=customXml/itemProps1.xml><?xml version="1.0" encoding="utf-8"?>
<ds:datastoreItem xmlns:ds="http://schemas.openxmlformats.org/officeDocument/2006/customXml" ds:itemID="{1C8E5E3E-C0BE-4F7E-BB5C-A51759A52E9C}">
  <ds:schemaRefs>
    <ds:schemaRef ds:uri="http://schemas.openxmlformats.org/officeDocument/2006/bibliography"/>
  </ds:schemaRefs>
</ds:datastoreItem>
</file>

<file path=customXml/itemProps2.xml><?xml version="1.0" encoding="utf-8"?>
<ds:datastoreItem xmlns:ds="http://schemas.openxmlformats.org/officeDocument/2006/customXml" ds:itemID="{84730433-C672-4FCA-948A-C7D179A11EB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398</Words>
  <Characters>2187</Characters>
  <Application>Microsoft Office Word</Application>
  <DocSecurity>4</DocSecurity>
  <Lines>41</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Parreño Torres</dc:creator>
  <cp:keywords/>
  <dc:description/>
  <cp:lastModifiedBy>Carmen Escamilla Torregrosa</cp:lastModifiedBy>
  <cp:revision>2</cp:revision>
  <cp:lastPrinted>2022-04-29T11:32:00Z</cp:lastPrinted>
  <dcterms:created xsi:type="dcterms:W3CDTF">2023-04-10T16:10:00Z</dcterms:created>
  <dcterms:modified xsi:type="dcterms:W3CDTF">2023-04-10T16:10:00Z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#13454022v1&lt;BROSETA&gt; - Newsletter Ordenanza 6/2022 Licencias y declaraciones respons...docx</vt:lpwstr>
  </property>
</Properties>
</file>